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7FB60" w14:textId="36D48C47" w:rsidR="00B27685" w:rsidRPr="00F510FE" w:rsidRDefault="00B27685" w:rsidP="00F510FE">
      <w:pPr>
        <w:pStyle w:val="Hlavika"/>
        <w:tabs>
          <w:tab w:val="left" w:pos="1977"/>
        </w:tabs>
        <w:ind w:firstLine="1977"/>
      </w:pPr>
    </w:p>
    <w:p w14:paraId="21836C51" w14:textId="4D7EF0C6" w:rsidR="00714D15" w:rsidRPr="00F510FE" w:rsidRDefault="00714D15" w:rsidP="00F510FE"/>
    <w:p w14:paraId="49DF1C1E" w14:textId="77777777" w:rsidR="00A52346" w:rsidRPr="00F510FE" w:rsidRDefault="00A52346" w:rsidP="00F510FE">
      <w:pPr>
        <w:jc w:val="both"/>
        <w:rPr>
          <w:b/>
          <w:bCs/>
        </w:rPr>
      </w:pPr>
    </w:p>
    <w:p w14:paraId="0F4689B0" w14:textId="77777777" w:rsidR="00E54ACB" w:rsidRPr="00F510FE" w:rsidRDefault="00E54ACB" w:rsidP="00F510FE"/>
    <w:p w14:paraId="201CCFCC" w14:textId="77777777" w:rsidR="00E54ACB" w:rsidRPr="00F510FE" w:rsidRDefault="00E54ACB" w:rsidP="00F510FE"/>
    <w:p w14:paraId="0C5C9B0E" w14:textId="50249C3B" w:rsidR="00B27685" w:rsidRPr="00F510FE" w:rsidRDefault="00B27685" w:rsidP="00F510FE"/>
    <w:p w14:paraId="57B528AC" w14:textId="77777777" w:rsidR="00E54ACB" w:rsidRPr="00F510FE" w:rsidRDefault="00E54ACB" w:rsidP="00F510FE"/>
    <w:p w14:paraId="03F1B9B9" w14:textId="77777777" w:rsidR="00EB2F61" w:rsidRPr="00F510FE" w:rsidRDefault="00EB2F61" w:rsidP="00F510FE"/>
    <w:p w14:paraId="6B6EB277" w14:textId="43B06510" w:rsidR="00EB2F61" w:rsidRPr="00F510FE" w:rsidRDefault="00EB2F61" w:rsidP="00F510FE"/>
    <w:p w14:paraId="6121DDB1" w14:textId="75217EA2" w:rsidR="003F06E5" w:rsidRPr="00F510FE" w:rsidRDefault="003F06E5" w:rsidP="00F510FE"/>
    <w:p w14:paraId="210406E9" w14:textId="7A2A579D" w:rsidR="003F06E5" w:rsidRPr="00F510FE" w:rsidRDefault="003F06E5" w:rsidP="00F510FE"/>
    <w:p w14:paraId="45701CEB" w14:textId="47F505D7" w:rsidR="003F06E5" w:rsidRPr="00F510FE" w:rsidRDefault="003F06E5" w:rsidP="00F510FE"/>
    <w:p w14:paraId="1DEDDCCE" w14:textId="77777777" w:rsidR="003F06E5" w:rsidRPr="00F510FE" w:rsidRDefault="003F06E5" w:rsidP="00F510FE"/>
    <w:p w14:paraId="41FFDB44" w14:textId="77777777" w:rsidR="00EB2F61" w:rsidRPr="00F510FE" w:rsidRDefault="00EB2F61" w:rsidP="00F510FE"/>
    <w:p w14:paraId="10C16B48" w14:textId="77777777" w:rsidR="00EB2F61" w:rsidRPr="00F510FE" w:rsidRDefault="00EB2F61" w:rsidP="00F510FE"/>
    <w:p w14:paraId="673D59EF" w14:textId="77777777" w:rsidR="00EB2F61" w:rsidRPr="00F510FE" w:rsidRDefault="00EB2F61" w:rsidP="00F510FE"/>
    <w:p w14:paraId="5BE63E5A" w14:textId="43CA1598" w:rsidR="00E54ACB" w:rsidRPr="00F510FE" w:rsidRDefault="008F3949" w:rsidP="00F510FE">
      <w:pPr>
        <w:jc w:val="center"/>
        <w:rPr>
          <w:b/>
          <w:bCs/>
          <w:sz w:val="36"/>
          <w:szCs w:val="36"/>
        </w:rPr>
      </w:pPr>
      <w:r w:rsidRPr="00F510FE">
        <w:rPr>
          <w:b/>
          <w:bCs/>
          <w:sz w:val="36"/>
          <w:szCs w:val="36"/>
        </w:rPr>
        <w:t>Integrovan</w:t>
      </w:r>
      <w:r w:rsidR="00094181">
        <w:rPr>
          <w:b/>
          <w:bCs/>
          <w:sz w:val="36"/>
          <w:szCs w:val="36"/>
        </w:rPr>
        <w:t>ý</w:t>
      </w:r>
      <w:r w:rsidRPr="00F510FE">
        <w:rPr>
          <w:b/>
          <w:bCs/>
          <w:sz w:val="36"/>
          <w:szCs w:val="36"/>
        </w:rPr>
        <w:t xml:space="preserve"> regionáln</w:t>
      </w:r>
      <w:r w:rsidR="00094181">
        <w:rPr>
          <w:b/>
          <w:bCs/>
          <w:sz w:val="36"/>
          <w:szCs w:val="36"/>
        </w:rPr>
        <w:t>y</w:t>
      </w:r>
      <w:r w:rsidRPr="00F510FE">
        <w:rPr>
          <w:b/>
          <w:bCs/>
          <w:sz w:val="36"/>
          <w:szCs w:val="36"/>
        </w:rPr>
        <w:t xml:space="preserve"> operačn</w:t>
      </w:r>
      <w:r w:rsidR="00094181">
        <w:rPr>
          <w:b/>
          <w:bCs/>
          <w:sz w:val="36"/>
          <w:szCs w:val="36"/>
        </w:rPr>
        <w:t>ý</w:t>
      </w:r>
    </w:p>
    <w:p w14:paraId="2AF2E3CE" w14:textId="04797F8E" w:rsidR="00E54ACB" w:rsidRPr="00F510FE" w:rsidRDefault="00E54ACB" w:rsidP="00F510FE">
      <w:pPr>
        <w:jc w:val="center"/>
        <w:rPr>
          <w:b/>
          <w:bCs/>
          <w:sz w:val="36"/>
          <w:szCs w:val="36"/>
        </w:rPr>
      </w:pPr>
      <w:r w:rsidRPr="00F510FE">
        <w:rPr>
          <w:b/>
          <w:bCs/>
          <w:sz w:val="36"/>
          <w:szCs w:val="36"/>
        </w:rPr>
        <w:t>program 2014 – 2020</w:t>
      </w:r>
      <w:r w:rsidR="008F3949" w:rsidRPr="00F510FE">
        <w:rPr>
          <w:b/>
          <w:bCs/>
          <w:sz w:val="36"/>
          <w:szCs w:val="36"/>
        </w:rPr>
        <w:t xml:space="preserve">, verzia </w:t>
      </w:r>
      <w:r w:rsidR="00DC06DD">
        <w:rPr>
          <w:b/>
          <w:bCs/>
          <w:sz w:val="36"/>
          <w:szCs w:val="36"/>
        </w:rPr>
        <w:t>13</w:t>
      </w:r>
      <w:r w:rsidR="008F3949" w:rsidRPr="00F510FE">
        <w:rPr>
          <w:b/>
          <w:bCs/>
          <w:sz w:val="36"/>
          <w:szCs w:val="36"/>
        </w:rPr>
        <w:t>.</w:t>
      </w:r>
      <w:r w:rsidR="001B4EC6" w:rsidRPr="00F510FE">
        <w:rPr>
          <w:b/>
          <w:bCs/>
          <w:sz w:val="36"/>
          <w:szCs w:val="36"/>
        </w:rPr>
        <w:t>0</w:t>
      </w:r>
    </w:p>
    <w:p w14:paraId="5A0BF5F1" w14:textId="77777777" w:rsidR="00E54ACB" w:rsidRPr="00F510FE" w:rsidRDefault="00E54ACB" w:rsidP="00F510FE">
      <w:pPr>
        <w:jc w:val="center"/>
        <w:rPr>
          <w:b/>
          <w:bCs/>
          <w:sz w:val="36"/>
          <w:szCs w:val="36"/>
        </w:rPr>
      </w:pPr>
      <w:r w:rsidRPr="00F510FE">
        <w:rPr>
          <w:b/>
          <w:bCs/>
          <w:sz w:val="36"/>
          <w:szCs w:val="36"/>
        </w:rPr>
        <w:t>______________</w:t>
      </w:r>
      <w:r w:rsidR="00A52346" w:rsidRPr="00F510FE">
        <w:rPr>
          <w:b/>
          <w:bCs/>
          <w:sz w:val="36"/>
          <w:szCs w:val="36"/>
        </w:rPr>
        <w:t>_______________________________</w:t>
      </w:r>
    </w:p>
    <w:p w14:paraId="17E71457" w14:textId="77777777" w:rsidR="00E54ACB" w:rsidRPr="00F510FE" w:rsidRDefault="00E54ACB" w:rsidP="00F510FE"/>
    <w:p w14:paraId="0F8B84DD" w14:textId="77777777" w:rsidR="00EB2F61" w:rsidRPr="00F510FE" w:rsidRDefault="00EB2F61" w:rsidP="00F510FE"/>
    <w:p w14:paraId="58AF20F9" w14:textId="77777777" w:rsidR="00B27685" w:rsidRPr="00F510FE" w:rsidRDefault="00B27685" w:rsidP="00F510FE"/>
    <w:p w14:paraId="5190D5AF" w14:textId="77777777" w:rsidR="00E54ACB" w:rsidRPr="00F510FE" w:rsidRDefault="00E54ACB" w:rsidP="00F510FE">
      <w:pPr>
        <w:jc w:val="center"/>
        <w:rPr>
          <w:b/>
          <w:bCs/>
          <w:color w:val="008000"/>
          <w:sz w:val="36"/>
          <w:szCs w:val="36"/>
        </w:rPr>
      </w:pPr>
      <w:r w:rsidRPr="00F510FE">
        <w:rPr>
          <w:b/>
          <w:bCs/>
          <w:color w:val="008000"/>
          <w:sz w:val="36"/>
          <w:szCs w:val="36"/>
        </w:rPr>
        <w:t>Oznámenie o</w:t>
      </w:r>
      <w:r w:rsidR="00B27685" w:rsidRPr="00F510FE">
        <w:rPr>
          <w:b/>
          <w:bCs/>
          <w:color w:val="008000"/>
          <w:sz w:val="36"/>
          <w:szCs w:val="36"/>
        </w:rPr>
        <w:t> zmene strategického dokumentu</w:t>
      </w:r>
    </w:p>
    <w:p w14:paraId="3C6283A0" w14:textId="77777777" w:rsidR="00B27685" w:rsidRPr="00F510FE" w:rsidRDefault="00F523BD" w:rsidP="00F510FE">
      <w:pPr>
        <w:jc w:val="center"/>
        <w:rPr>
          <w:color w:val="008000"/>
        </w:rPr>
      </w:pPr>
      <w:r w:rsidRPr="00F510FE">
        <w:rPr>
          <w:color w:val="008000"/>
        </w:rPr>
        <w:t>podľa zákona č. 24/2006</w:t>
      </w:r>
      <w:r w:rsidR="00B27685" w:rsidRPr="00F510FE">
        <w:rPr>
          <w:color w:val="008000"/>
        </w:rPr>
        <w:t xml:space="preserve"> Z. z. o posudzovaní vplyvov na životné prostredie a o zmene a doplnení niektorých zákonov v znení neskorších predpisov</w:t>
      </w:r>
    </w:p>
    <w:p w14:paraId="2A605DEE" w14:textId="77777777" w:rsidR="00E54ACB" w:rsidRPr="00F510FE" w:rsidRDefault="00E54ACB" w:rsidP="00F510FE"/>
    <w:p w14:paraId="4E002DE8" w14:textId="77777777" w:rsidR="00247EF6" w:rsidRPr="00F510FE" w:rsidRDefault="00247EF6" w:rsidP="00F510FE">
      <w:pPr>
        <w:rPr>
          <w:bCs/>
          <w:sz w:val="22"/>
          <w:szCs w:val="22"/>
        </w:rPr>
      </w:pPr>
    </w:p>
    <w:p w14:paraId="77EDEAD4" w14:textId="77777777" w:rsidR="008722EB" w:rsidRPr="00F510FE" w:rsidRDefault="008722EB" w:rsidP="00F510FE">
      <w:pPr>
        <w:rPr>
          <w:bCs/>
          <w:sz w:val="22"/>
          <w:szCs w:val="22"/>
        </w:rPr>
      </w:pPr>
    </w:p>
    <w:p w14:paraId="558E4448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4DDE5645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65A08648" w14:textId="06CA63EB" w:rsidR="00EB2F61" w:rsidRDefault="00EB2F61" w:rsidP="003B0C62">
      <w:pPr>
        <w:jc w:val="center"/>
        <w:rPr>
          <w:bCs/>
          <w:sz w:val="22"/>
          <w:szCs w:val="22"/>
        </w:rPr>
      </w:pPr>
    </w:p>
    <w:p w14:paraId="1D67E67F" w14:textId="6E4CBC10" w:rsidR="00A508D6" w:rsidRDefault="00A508D6" w:rsidP="003B0C62">
      <w:pPr>
        <w:jc w:val="center"/>
        <w:rPr>
          <w:bCs/>
          <w:sz w:val="22"/>
          <w:szCs w:val="22"/>
        </w:rPr>
      </w:pPr>
    </w:p>
    <w:p w14:paraId="10D7AF65" w14:textId="5C521C57" w:rsidR="00A508D6" w:rsidRDefault="00A508D6" w:rsidP="003B0C62">
      <w:pPr>
        <w:jc w:val="center"/>
        <w:rPr>
          <w:bCs/>
          <w:sz w:val="22"/>
          <w:szCs w:val="22"/>
        </w:rPr>
      </w:pPr>
    </w:p>
    <w:p w14:paraId="551621BA" w14:textId="77777777" w:rsidR="00A508D6" w:rsidRPr="00F510FE" w:rsidRDefault="00A508D6" w:rsidP="003B0C62">
      <w:pPr>
        <w:jc w:val="center"/>
        <w:rPr>
          <w:bCs/>
          <w:sz w:val="22"/>
          <w:szCs w:val="22"/>
        </w:rPr>
      </w:pPr>
    </w:p>
    <w:p w14:paraId="49F4AD3B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4AA68CAC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726F6CF6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37B40856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10B0A589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63CB2786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1FDB940F" w14:textId="25FE1C65" w:rsidR="00EB2F61" w:rsidRDefault="00EB2F61" w:rsidP="00F510FE">
      <w:pPr>
        <w:rPr>
          <w:bCs/>
          <w:sz w:val="22"/>
          <w:szCs w:val="22"/>
        </w:rPr>
      </w:pPr>
    </w:p>
    <w:p w14:paraId="20940444" w14:textId="1337601A" w:rsidR="003B0C62" w:rsidRDefault="003B0C62" w:rsidP="00F510FE">
      <w:pPr>
        <w:rPr>
          <w:bCs/>
          <w:sz w:val="22"/>
          <w:szCs w:val="22"/>
        </w:rPr>
      </w:pPr>
    </w:p>
    <w:p w14:paraId="4E6E8AC1" w14:textId="11892195" w:rsidR="003B0C62" w:rsidRDefault="003B0C62" w:rsidP="00F510FE">
      <w:pPr>
        <w:rPr>
          <w:bCs/>
          <w:sz w:val="22"/>
          <w:szCs w:val="22"/>
        </w:rPr>
      </w:pPr>
    </w:p>
    <w:p w14:paraId="54DA1A55" w14:textId="77777777" w:rsidR="003B0C62" w:rsidRPr="00F510FE" w:rsidRDefault="003B0C62" w:rsidP="00F510FE">
      <w:pPr>
        <w:rPr>
          <w:bCs/>
          <w:sz w:val="22"/>
          <w:szCs w:val="22"/>
        </w:rPr>
      </w:pPr>
    </w:p>
    <w:p w14:paraId="1C92A5C5" w14:textId="77777777" w:rsidR="00B27685" w:rsidRPr="00F510FE" w:rsidRDefault="00B27685" w:rsidP="00F510FE">
      <w:pPr>
        <w:rPr>
          <w:bCs/>
          <w:sz w:val="22"/>
          <w:szCs w:val="22"/>
        </w:rPr>
      </w:pPr>
    </w:p>
    <w:p w14:paraId="37B0092E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775CFE01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4053D3AC" w14:textId="53E1870E" w:rsidR="00EB2F61" w:rsidRPr="00F510FE" w:rsidRDefault="00B27685" w:rsidP="00F510FE">
      <w:pPr>
        <w:jc w:val="center"/>
        <w:rPr>
          <w:bCs/>
          <w:sz w:val="22"/>
          <w:szCs w:val="22"/>
        </w:rPr>
      </w:pPr>
      <w:r w:rsidRPr="00F510FE">
        <w:rPr>
          <w:bCs/>
          <w:sz w:val="22"/>
          <w:szCs w:val="22"/>
        </w:rPr>
        <w:t xml:space="preserve">Bratislava, </w:t>
      </w:r>
      <w:r w:rsidR="00DC06DD">
        <w:rPr>
          <w:bCs/>
          <w:sz w:val="22"/>
          <w:szCs w:val="22"/>
        </w:rPr>
        <w:t>marec</w:t>
      </w:r>
      <w:r w:rsidR="00047175">
        <w:rPr>
          <w:bCs/>
          <w:sz w:val="22"/>
          <w:szCs w:val="22"/>
        </w:rPr>
        <w:t xml:space="preserve"> </w:t>
      </w:r>
      <w:r w:rsidR="00DC06DD">
        <w:rPr>
          <w:bCs/>
          <w:sz w:val="22"/>
          <w:szCs w:val="22"/>
        </w:rPr>
        <w:t>2023</w:t>
      </w:r>
    </w:p>
    <w:p w14:paraId="6FE8688D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734BB166" w14:textId="6AEC4659" w:rsidR="00B27685" w:rsidRPr="00F510FE" w:rsidRDefault="00B27685" w:rsidP="00F510FE">
      <w:pPr>
        <w:rPr>
          <w:bCs/>
          <w:sz w:val="22"/>
          <w:szCs w:val="22"/>
        </w:rPr>
      </w:pPr>
      <w:r w:rsidRPr="00F510FE">
        <w:rPr>
          <w:b/>
          <w:bCs/>
          <w:sz w:val="36"/>
          <w:szCs w:val="36"/>
          <w:u w:val="single"/>
        </w:rPr>
        <w:br w:type="page"/>
      </w:r>
    </w:p>
    <w:p w14:paraId="39E19B0E" w14:textId="77777777" w:rsidR="00E54ACB" w:rsidRPr="00F510FE" w:rsidRDefault="00E54ACB" w:rsidP="00F510FE">
      <w:pPr>
        <w:spacing w:before="80" w:line="276" w:lineRule="auto"/>
        <w:ind w:left="357" w:hanging="357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lastRenderedPageBreak/>
        <w:t>I.</w:t>
      </w:r>
      <w:r w:rsidRPr="00F510FE">
        <w:rPr>
          <w:b/>
          <w:bCs/>
          <w:sz w:val="22"/>
          <w:szCs w:val="22"/>
        </w:rPr>
        <w:tab/>
        <w:t>Základné údaje o obstarávateľovi</w:t>
      </w:r>
    </w:p>
    <w:p w14:paraId="4ABD9991" w14:textId="0E6D970E" w:rsidR="00E54ACB" w:rsidRPr="00F510FE" w:rsidRDefault="00E54ACB" w:rsidP="00094181">
      <w:pPr>
        <w:spacing w:before="12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1.</w:t>
      </w:r>
      <w:r w:rsidRPr="00F510FE">
        <w:rPr>
          <w:b/>
          <w:bCs/>
          <w:sz w:val="22"/>
          <w:szCs w:val="22"/>
        </w:rPr>
        <w:tab/>
        <w:t>Názov</w:t>
      </w:r>
    </w:p>
    <w:p w14:paraId="66B931C1" w14:textId="68D753E4" w:rsidR="00E54ACB" w:rsidRPr="00F510FE" w:rsidRDefault="00E54ACB" w:rsidP="00F510FE">
      <w:pPr>
        <w:spacing w:before="80" w:line="276" w:lineRule="auto"/>
        <w:ind w:left="567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Ministerstvo </w:t>
      </w:r>
      <w:r w:rsidR="00C62FB0">
        <w:rPr>
          <w:sz w:val="22"/>
          <w:szCs w:val="22"/>
        </w:rPr>
        <w:t>investícií, regionálneho rozvoja a informatizácie</w:t>
      </w:r>
      <w:r w:rsidRPr="00F510FE">
        <w:rPr>
          <w:sz w:val="22"/>
          <w:szCs w:val="22"/>
        </w:rPr>
        <w:t xml:space="preserve"> SR</w:t>
      </w:r>
    </w:p>
    <w:p w14:paraId="209A197D" w14:textId="77777777" w:rsidR="00E54ACB" w:rsidRPr="00F510FE" w:rsidRDefault="00E54ACB" w:rsidP="00094181">
      <w:pPr>
        <w:spacing w:before="12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2.</w:t>
      </w:r>
      <w:r w:rsidRPr="00F510FE">
        <w:rPr>
          <w:b/>
          <w:bCs/>
          <w:sz w:val="22"/>
          <w:szCs w:val="22"/>
        </w:rPr>
        <w:tab/>
        <w:t>Identifikačné číslo</w:t>
      </w:r>
    </w:p>
    <w:p w14:paraId="34D22B5F" w14:textId="73E8271B" w:rsidR="006A344A" w:rsidRPr="006A344A" w:rsidRDefault="006A344A" w:rsidP="006A344A">
      <w:pPr>
        <w:spacing w:before="80" w:line="276" w:lineRule="auto"/>
        <w:ind w:left="567"/>
        <w:jc w:val="both"/>
        <w:rPr>
          <w:sz w:val="22"/>
          <w:szCs w:val="22"/>
        </w:rPr>
      </w:pPr>
      <w:r w:rsidRPr="006A344A">
        <w:rPr>
          <w:sz w:val="22"/>
          <w:szCs w:val="22"/>
        </w:rPr>
        <w:t>50 349 287</w:t>
      </w:r>
    </w:p>
    <w:p w14:paraId="48ED13EB" w14:textId="6A17497F" w:rsidR="00E54ACB" w:rsidRPr="00F510FE" w:rsidRDefault="00E54ACB" w:rsidP="00094181">
      <w:pPr>
        <w:spacing w:before="12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3.</w:t>
      </w:r>
      <w:r w:rsidRPr="00F510FE">
        <w:rPr>
          <w:b/>
          <w:bCs/>
          <w:sz w:val="22"/>
          <w:szCs w:val="22"/>
        </w:rPr>
        <w:tab/>
        <w:t>Adresa sídla</w:t>
      </w:r>
    </w:p>
    <w:p w14:paraId="3FA29B42" w14:textId="661113DA" w:rsidR="00B27685" w:rsidRDefault="00DC06DD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Pribinova 25</w:t>
      </w:r>
    </w:p>
    <w:p w14:paraId="38338F07" w14:textId="2F313367" w:rsidR="00DC06DD" w:rsidRPr="00F510FE" w:rsidRDefault="00DC06DD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811 09 Bratislava</w:t>
      </w:r>
    </w:p>
    <w:p w14:paraId="5C2B14AF" w14:textId="77777777" w:rsidR="00B27685" w:rsidRPr="00F510FE" w:rsidRDefault="00B27685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>Slovenská republika</w:t>
      </w:r>
    </w:p>
    <w:p w14:paraId="5BE8587D" w14:textId="77777777" w:rsidR="00E54ACB" w:rsidRPr="00F510FE" w:rsidRDefault="00E54ACB" w:rsidP="00094181">
      <w:pPr>
        <w:spacing w:before="12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4.</w:t>
      </w:r>
      <w:r w:rsidRPr="00F510FE">
        <w:rPr>
          <w:b/>
          <w:bCs/>
          <w:sz w:val="22"/>
          <w:szCs w:val="22"/>
        </w:rPr>
        <w:tab/>
        <w:t>Meno, priezvisko, adresa, telefónne číslo a iné kontaktné údaje oprávneného zástupcu obstarávateľa</w:t>
      </w:r>
    </w:p>
    <w:p w14:paraId="043FF1D1" w14:textId="6FEA132D" w:rsidR="007E0EFD" w:rsidRPr="00F510FE" w:rsidRDefault="00591479" w:rsidP="00F510FE">
      <w:pPr>
        <w:spacing w:before="12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Ing. Albert Németh</w:t>
      </w:r>
    </w:p>
    <w:p w14:paraId="242C939A" w14:textId="4D1C70D4" w:rsidR="007E0EFD" w:rsidRPr="00F510FE" w:rsidRDefault="007E0EFD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>generálny ria</w:t>
      </w:r>
      <w:r w:rsidR="00D74F80" w:rsidRPr="00F510FE">
        <w:rPr>
          <w:sz w:val="22"/>
          <w:szCs w:val="22"/>
        </w:rPr>
        <w:t xml:space="preserve">diteľ </w:t>
      </w:r>
      <w:r w:rsidRPr="00F510FE">
        <w:rPr>
          <w:sz w:val="22"/>
          <w:szCs w:val="22"/>
        </w:rPr>
        <w:t xml:space="preserve">sekcie </w:t>
      </w:r>
      <w:r w:rsidR="00591479">
        <w:rPr>
          <w:sz w:val="22"/>
          <w:szCs w:val="22"/>
        </w:rPr>
        <w:t>IROP</w:t>
      </w:r>
    </w:p>
    <w:p w14:paraId="45EBF1D1" w14:textId="77777777" w:rsidR="00591479" w:rsidRPr="00F510FE" w:rsidRDefault="00591479" w:rsidP="00591479">
      <w:pPr>
        <w:spacing w:line="276" w:lineRule="auto"/>
        <w:ind w:left="567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Ministerstvo </w:t>
      </w:r>
      <w:r>
        <w:rPr>
          <w:sz w:val="22"/>
          <w:szCs w:val="22"/>
        </w:rPr>
        <w:t>investícií, regionálneho rozvoja a informatizácie</w:t>
      </w:r>
      <w:r w:rsidRPr="00F510FE">
        <w:rPr>
          <w:sz w:val="22"/>
          <w:szCs w:val="22"/>
        </w:rPr>
        <w:t xml:space="preserve"> SR</w:t>
      </w:r>
    </w:p>
    <w:p w14:paraId="2A0CBBB1" w14:textId="56E1E985" w:rsidR="007E0EFD" w:rsidRDefault="00DC06DD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Pribinova 25</w:t>
      </w:r>
    </w:p>
    <w:p w14:paraId="33C8855C" w14:textId="4A7B9014" w:rsidR="00DC06DD" w:rsidRPr="00F510FE" w:rsidRDefault="00DC06DD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811 09  Bratislava</w:t>
      </w:r>
    </w:p>
    <w:p w14:paraId="458950DD" w14:textId="07E1B855" w:rsidR="007E0EFD" w:rsidRPr="00F510FE" w:rsidRDefault="00724642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>Tel</w:t>
      </w:r>
      <w:r w:rsidR="007E0EFD" w:rsidRPr="00F510FE">
        <w:rPr>
          <w:sz w:val="22"/>
          <w:szCs w:val="22"/>
        </w:rPr>
        <w:t xml:space="preserve">: +421 </w:t>
      </w:r>
      <w:r w:rsidR="00591479">
        <w:rPr>
          <w:sz w:val="22"/>
          <w:szCs w:val="22"/>
        </w:rPr>
        <w:t>2 2092</w:t>
      </w:r>
      <w:r w:rsidR="007E0EFD" w:rsidRPr="00F510FE">
        <w:rPr>
          <w:sz w:val="22"/>
          <w:szCs w:val="22"/>
        </w:rPr>
        <w:t xml:space="preserve"> </w:t>
      </w:r>
      <w:r w:rsidR="00591479">
        <w:rPr>
          <w:sz w:val="22"/>
          <w:szCs w:val="22"/>
        </w:rPr>
        <w:t>8602</w:t>
      </w:r>
    </w:p>
    <w:p w14:paraId="3FF006C7" w14:textId="0B03B0B7" w:rsidR="007E0EFD" w:rsidRPr="00F510FE" w:rsidRDefault="007E0EFD" w:rsidP="00F510FE">
      <w:pPr>
        <w:spacing w:before="80" w:line="276" w:lineRule="auto"/>
        <w:ind w:left="567"/>
        <w:contextualSpacing/>
        <w:jc w:val="both"/>
        <w:rPr>
          <w:sz w:val="22"/>
          <w:szCs w:val="22"/>
          <w:lang w:val="en-US"/>
        </w:rPr>
      </w:pPr>
      <w:r w:rsidRPr="00F510FE">
        <w:rPr>
          <w:sz w:val="22"/>
          <w:szCs w:val="22"/>
        </w:rPr>
        <w:t xml:space="preserve">e-mail: </w:t>
      </w:r>
      <w:hyperlink r:id="rId8" w:history="1">
        <w:r w:rsidR="00591479" w:rsidRPr="005C2509">
          <w:rPr>
            <w:rStyle w:val="Hypertextovprepojenie"/>
            <w:sz w:val="22"/>
            <w:szCs w:val="22"/>
          </w:rPr>
          <w:t>albert.nemeth@mirri.gov.sk</w:t>
        </w:r>
      </w:hyperlink>
      <w:r w:rsidRPr="00F510FE">
        <w:rPr>
          <w:sz w:val="22"/>
          <w:szCs w:val="22"/>
          <w:lang w:val="en-US"/>
        </w:rPr>
        <w:t xml:space="preserve"> </w:t>
      </w:r>
    </w:p>
    <w:p w14:paraId="2E371BF8" w14:textId="3A85C8D4" w:rsidR="00E54ACB" w:rsidRPr="00F510FE" w:rsidRDefault="0082329E" w:rsidP="00094181">
      <w:pPr>
        <w:spacing w:before="12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5.</w:t>
      </w:r>
      <w:r w:rsidRPr="00F510FE">
        <w:rPr>
          <w:b/>
          <w:bCs/>
          <w:sz w:val="22"/>
          <w:szCs w:val="22"/>
        </w:rPr>
        <w:tab/>
      </w:r>
      <w:r w:rsidR="00E54ACB" w:rsidRPr="00F510FE">
        <w:rPr>
          <w:b/>
          <w:bCs/>
          <w:sz w:val="22"/>
          <w:szCs w:val="22"/>
        </w:rPr>
        <w:t>Meno, priezvisko, adresa, telefónne číslo a iné konta</w:t>
      </w:r>
      <w:r w:rsidR="00724642" w:rsidRPr="00F510FE">
        <w:rPr>
          <w:b/>
          <w:bCs/>
          <w:sz w:val="22"/>
          <w:szCs w:val="22"/>
        </w:rPr>
        <w:t>ktné údaje kontaktnej osoby, od </w:t>
      </w:r>
      <w:r w:rsidR="00E54ACB" w:rsidRPr="00F510FE">
        <w:rPr>
          <w:b/>
          <w:bCs/>
          <w:sz w:val="22"/>
          <w:szCs w:val="22"/>
        </w:rPr>
        <w:t>ktorej možno dostať relevantné informácie o strategickom dokumente</w:t>
      </w:r>
      <w:r w:rsidR="00724642" w:rsidRPr="00F510FE">
        <w:rPr>
          <w:b/>
          <w:bCs/>
          <w:sz w:val="22"/>
          <w:szCs w:val="22"/>
        </w:rPr>
        <w:t xml:space="preserve"> a miesto na </w:t>
      </w:r>
      <w:r w:rsidR="00E54ACB" w:rsidRPr="00F510FE">
        <w:rPr>
          <w:b/>
          <w:bCs/>
          <w:sz w:val="22"/>
          <w:szCs w:val="22"/>
        </w:rPr>
        <w:t>konzultácie</w:t>
      </w:r>
    </w:p>
    <w:p w14:paraId="03438C0E" w14:textId="635662BF" w:rsidR="00E54ACB" w:rsidRPr="00F510FE" w:rsidRDefault="005B1859" w:rsidP="00F510FE">
      <w:pPr>
        <w:spacing w:before="120" w:line="276" w:lineRule="auto"/>
        <w:ind w:left="567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Ing.</w:t>
      </w:r>
      <w:r w:rsidR="00D62FF7" w:rsidRPr="00F510FE">
        <w:rPr>
          <w:sz w:val="22"/>
          <w:szCs w:val="22"/>
        </w:rPr>
        <w:t xml:space="preserve"> </w:t>
      </w:r>
      <w:r w:rsidR="00D073D5">
        <w:rPr>
          <w:sz w:val="22"/>
          <w:szCs w:val="22"/>
        </w:rPr>
        <w:t>Elena Chrenková Kušnírová</w:t>
      </w:r>
    </w:p>
    <w:p w14:paraId="64CFAEB7" w14:textId="5081B087" w:rsidR="00963D06" w:rsidRPr="00F510FE" w:rsidRDefault="00D073D5" w:rsidP="00F510FE">
      <w:pPr>
        <w:tabs>
          <w:tab w:val="left" w:pos="851"/>
        </w:tabs>
        <w:spacing w:before="80" w:line="276" w:lineRule="auto"/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vedúca oddelenia</w:t>
      </w:r>
      <w:r w:rsidR="00963D06" w:rsidRPr="00F510FE">
        <w:rPr>
          <w:sz w:val="22"/>
          <w:szCs w:val="22"/>
        </w:rPr>
        <w:t xml:space="preserve"> programovania</w:t>
      </w:r>
      <w:r w:rsidR="00724642" w:rsidRPr="00F510FE">
        <w:rPr>
          <w:sz w:val="22"/>
          <w:szCs w:val="22"/>
        </w:rPr>
        <w:t xml:space="preserve">, </w:t>
      </w:r>
      <w:r w:rsidR="00963D06" w:rsidRPr="00F510FE">
        <w:rPr>
          <w:sz w:val="22"/>
          <w:szCs w:val="22"/>
        </w:rPr>
        <w:t xml:space="preserve">odbor </w:t>
      </w:r>
      <w:r w:rsidR="00591479">
        <w:rPr>
          <w:sz w:val="22"/>
          <w:szCs w:val="22"/>
        </w:rPr>
        <w:t>programovania a metodiky</w:t>
      </w:r>
    </w:p>
    <w:p w14:paraId="63F7C45E" w14:textId="77777777" w:rsidR="00591479" w:rsidRPr="00F510FE" w:rsidRDefault="00591479" w:rsidP="00591479">
      <w:pPr>
        <w:spacing w:line="276" w:lineRule="auto"/>
        <w:ind w:left="567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Ministerstvo </w:t>
      </w:r>
      <w:r>
        <w:rPr>
          <w:sz w:val="22"/>
          <w:szCs w:val="22"/>
        </w:rPr>
        <w:t>investícií, regionálneho rozvoja a informatizácie</w:t>
      </w:r>
      <w:r w:rsidRPr="00F510FE">
        <w:rPr>
          <w:sz w:val="22"/>
          <w:szCs w:val="22"/>
        </w:rPr>
        <w:t xml:space="preserve"> SR</w:t>
      </w:r>
    </w:p>
    <w:p w14:paraId="5DBE5BE2" w14:textId="77777777" w:rsidR="00DC06DD" w:rsidRDefault="00DC06DD" w:rsidP="00DC06DD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Pribinova 25</w:t>
      </w:r>
    </w:p>
    <w:p w14:paraId="6AD7DE51" w14:textId="77777777" w:rsidR="00DC06DD" w:rsidRPr="00F510FE" w:rsidRDefault="00DC06DD" w:rsidP="00DC06DD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811 09  Bratislava</w:t>
      </w:r>
    </w:p>
    <w:p w14:paraId="1EC49907" w14:textId="3D055601" w:rsidR="009E7D6E" w:rsidRPr="00F510FE" w:rsidRDefault="00724642" w:rsidP="00F510FE">
      <w:pPr>
        <w:tabs>
          <w:tab w:val="left" w:pos="851"/>
        </w:tabs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>T</w:t>
      </w:r>
      <w:r w:rsidR="009E7D6E" w:rsidRPr="00F510FE">
        <w:rPr>
          <w:sz w:val="22"/>
          <w:szCs w:val="22"/>
        </w:rPr>
        <w:t>el</w:t>
      </w:r>
      <w:r w:rsidRPr="00F510FE">
        <w:rPr>
          <w:sz w:val="22"/>
          <w:szCs w:val="22"/>
        </w:rPr>
        <w:t>.</w:t>
      </w:r>
      <w:r w:rsidR="009E7D6E" w:rsidRPr="00F510FE">
        <w:rPr>
          <w:sz w:val="22"/>
          <w:szCs w:val="22"/>
        </w:rPr>
        <w:t xml:space="preserve">: +421 2 </w:t>
      </w:r>
      <w:r w:rsidR="00591479">
        <w:rPr>
          <w:sz w:val="22"/>
          <w:szCs w:val="22"/>
        </w:rPr>
        <w:t>2092</w:t>
      </w:r>
      <w:r w:rsidR="009E7D6E" w:rsidRPr="00F510FE">
        <w:rPr>
          <w:sz w:val="22"/>
          <w:szCs w:val="22"/>
        </w:rPr>
        <w:t xml:space="preserve"> </w:t>
      </w:r>
      <w:r w:rsidR="00591479">
        <w:rPr>
          <w:sz w:val="22"/>
          <w:szCs w:val="22"/>
        </w:rPr>
        <w:t>86</w:t>
      </w:r>
      <w:r w:rsidR="00D073D5">
        <w:rPr>
          <w:sz w:val="22"/>
          <w:szCs w:val="22"/>
        </w:rPr>
        <w:t>06</w:t>
      </w:r>
    </w:p>
    <w:p w14:paraId="772F5457" w14:textId="5DBDEF89" w:rsidR="009E7D6E" w:rsidRPr="00F510FE" w:rsidRDefault="009E7D6E" w:rsidP="00F510FE">
      <w:pPr>
        <w:spacing w:before="80" w:line="276" w:lineRule="auto"/>
        <w:ind w:left="567"/>
        <w:contextualSpacing/>
        <w:jc w:val="both"/>
        <w:rPr>
          <w:sz w:val="22"/>
          <w:szCs w:val="22"/>
          <w:lang w:val="en-US"/>
        </w:rPr>
      </w:pPr>
      <w:r w:rsidRPr="00F510FE">
        <w:rPr>
          <w:sz w:val="22"/>
          <w:szCs w:val="22"/>
        </w:rPr>
        <w:t xml:space="preserve">e-mail: </w:t>
      </w:r>
      <w:hyperlink r:id="rId9" w:history="1">
        <w:r w:rsidR="00D073D5" w:rsidRPr="006B2C9C">
          <w:rPr>
            <w:rStyle w:val="Hypertextovprepojenie"/>
          </w:rPr>
          <w:t>elena.chrenkova.kusnirova</w:t>
        </w:r>
        <w:r w:rsidR="00D073D5" w:rsidRPr="006B2C9C">
          <w:rPr>
            <w:rStyle w:val="Hypertextovprepojenie"/>
            <w:sz w:val="22"/>
            <w:szCs w:val="22"/>
          </w:rPr>
          <w:t>@mirri.gov.sk</w:t>
        </w:r>
      </w:hyperlink>
      <w:r w:rsidRPr="00F510FE">
        <w:rPr>
          <w:sz w:val="22"/>
          <w:szCs w:val="22"/>
          <w:lang w:val="en-US"/>
        </w:rPr>
        <w:t xml:space="preserve"> </w:t>
      </w:r>
    </w:p>
    <w:p w14:paraId="030445DD" w14:textId="14BC3C94" w:rsidR="008F3949" w:rsidRPr="00F510FE" w:rsidRDefault="00724642" w:rsidP="00094181">
      <w:pPr>
        <w:spacing w:before="12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6</w:t>
      </w:r>
      <w:r w:rsidR="0082329E" w:rsidRPr="00F510FE">
        <w:rPr>
          <w:b/>
          <w:bCs/>
          <w:sz w:val="22"/>
          <w:szCs w:val="22"/>
        </w:rPr>
        <w:t>.</w:t>
      </w:r>
      <w:r w:rsidR="0082329E" w:rsidRPr="00F510FE">
        <w:rPr>
          <w:b/>
          <w:bCs/>
          <w:sz w:val="22"/>
          <w:szCs w:val="22"/>
        </w:rPr>
        <w:tab/>
      </w:r>
      <w:r w:rsidR="008F3949" w:rsidRPr="00F510FE">
        <w:rPr>
          <w:b/>
          <w:bCs/>
          <w:sz w:val="22"/>
          <w:szCs w:val="22"/>
        </w:rPr>
        <w:t>Miesto a čas konzultácie</w:t>
      </w:r>
    </w:p>
    <w:p w14:paraId="46EF7239" w14:textId="519021C2" w:rsidR="009E7D6E" w:rsidRPr="00F510FE" w:rsidRDefault="00591479" w:rsidP="00DC06DD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Ministerstvo </w:t>
      </w:r>
      <w:r>
        <w:rPr>
          <w:sz w:val="22"/>
          <w:szCs w:val="22"/>
        </w:rPr>
        <w:t>investícií, regionálneho rozvoja a informatizácie SR</w:t>
      </w:r>
      <w:r w:rsidR="009E7D6E" w:rsidRPr="00F510FE">
        <w:rPr>
          <w:sz w:val="22"/>
          <w:szCs w:val="22"/>
        </w:rPr>
        <w:t xml:space="preserve">, </w:t>
      </w:r>
      <w:r w:rsidR="00DC06DD">
        <w:rPr>
          <w:sz w:val="22"/>
          <w:szCs w:val="22"/>
        </w:rPr>
        <w:t>Pribinova 25, Bratislava.</w:t>
      </w:r>
    </w:p>
    <w:p w14:paraId="25C44437" w14:textId="03F6A54B" w:rsidR="009E7D6E" w:rsidRPr="00F510FE" w:rsidRDefault="009E7D6E" w:rsidP="00F510FE">
      <w:pPr>
        <w:spacing w:before="80" w:line="276" w:lineRule="auto"/>
        <w:ind w:left="567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Konzultovať vo veci zmeny posudzovaného strategického dokumentu s celoštátnym dosahom podľa § 63 ods. 1 zákona č. 24/2006 Z. z. o posudzovaní vplyvov na životné prostredie a o zmene a doplnení niektorých zákonov v znení neskorších p</w:t>
      </w:r>
      <w:r w:rsidR="00724642" w:rsidRPr="00F510FE">
        <w:rPr>
          <w:sz w:val="22"/>
          <w:szCs w:val="22"/>
        </w:rPr>
        <w:t>redpisov (ďalej len „zákon</w:t>
      </w:r>
      <w:r w:rsidR="00057B91">
        <w:rPr>
          <w:sz w:val="22"/>
          <w:szCs w:val="22"/>
        </w:rPr>
        <w:t xml:space="preserve"> o EIA</w:t>
      </w:r>
      <w:r w:rsidR="00724642" w:rsidRPr="00F510FE">
        <w:rPr>
          <w:sz w:val="22"/>
          <w:szCs w:val="22"/>
        </w:rPr>
        <w:t>“) je </w:t>
      </w:r>
      <w:r w:rsidRPr="00F510FE">
        <w:rPr>
          <w:sz w:val="22"/>
          <w:szCs w:val="22"/>
        </w:rPr>
        <w:t xml:space="preserve">možné počas celého procesu posudzovania strategického dokumentu. </w:t>
      </w:r>
    </w:p>
    <w:p w14:paraId="59067191" w14:textId="4C640688" w:rsidR="009E7D6E" w:rsidRPr="00F510FE" w:rsidRDefault="009E7D6E" w:rsidP="00F510FE">
      <w:pPr>
        <w:tabs>
          <w:tab w:val="left" w:pos="709"/>
          <w:tab w:val="left" w:pos="851"/>
        </w:tabs>
        <w:spacing w:before="80" w:line="276" w:lineRule="auto"/>
        <w:ind w:left="567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Čas konzultácií sa určí „prípad po prípade“ prostredníctvom kontaktnej osoby</w:t>
      </w:r>
      <w:r w:rsidR="00D1730B" w:rsidRPr="00F510FE">
        <w:rPr>
          <w:sz w:val="22"/>
          <w:szCs w:val="22"/>
        </w:rPr>
        <w:t xml:space="preserve"> </w:t>
      </w:r>
      <w:r w:rsidRPr="00F510FE">
        <w:rPr>
          <w:sz w:val="22"/>
          <w:szCs w:val="22"/>
        </w:rPr>
        <w:t xml:space="preserve">a podľa požiadavky a dohody subjektov, ktoré prejavia o konzultácie záujem. </w:t>
      </w:r>
    </w:p>
    <w:p w14:paraId="5A9AB8EF" w14:textId="7CB5825C" w:rsidR="004F695E" w:rsidRPr="00F510FE" w:rsidRDefault="004F695E" w:rsidP="00F510FE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F510FE">
        <w:rPr>
          <w:sz w:val="22"/>
          <w:szCs w:val="22"/>
        </w:rPr>
        <w:br w:type="page"/>
      </w:r>
    </w:p>
    <w:p w14:paraId="1345E709" w14:textId="77777777" w:rsidR="00E54ACB" w:rsidRPr="00F510FE" w:rsidRDefault="00E54ACB" w:rsidP="00F510FE">
      <w:pPr>
        <w:spacing w:before="120" w:line="276" w:lineRule="auto"/>
        <w:ind w:left="357" w:hanging="357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lastRenderedPageBreak/>
        <w:t>II.</w:t>
      </w:r>
      <w:r w:rsidRPr="00F510FE">
        <w:rPr>
          <w:b/>
          <w:bCs/>
          <w:sz w:val="22"/>
          <w:szCs w:val="22"/>
        </w:rPr>
        <w:tab/>
        <w:t>Základné údaje o strategickom dokumente</w:t>
      </w:r>
    </w:p>
    <w:p w14:paraId="1E19CDCC" w14:textId="77777777" w:rsidR="00E54ACB" w:rsidRPr="00F510FE" w:rsidRDefault="00E54ACB" w:rsidP="00F510FE">
      <w:pPr>
        <w:spacing w:before="24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1.</w:t>
      </w:r>
      <w:r w:rsidRPr="00F510FE">
        <w:rPr>
          <w:b/>
          <w:bCs/>
          <w:sz w:val="22"/>
          <w:szCs w:val="22"/>
        </w:rPr>
        <w:tab/>
        <w:t>Názov</w:t>
      </w:r>
    </w:p>
    <w:p w14:paraId="5EF8DF41" w14:textId="147FA157" w:rsidR="00E54ACB" w:rsidRPr="00094181" w:rsidRDefault="007708EA" w:rsidP="00AC1D1A">
      <w:pPr>
        <w:tabs>
          <w:tab w:val="left" w:pos="993"/>
        </w:tabs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094181">
        <w:rPr>
          <w:b/>
          <w:bCs/>
          <w:i/>
          <w:iCs/>
          <w:sz w:val="22"/>
          <w:szCs w:val="22"/>
        </w:rPr>
        <w:t>Integrovan</w:t>
      </w:r>
      <w:r w:rsidR="00094181" w:rsidRPr="00094181">
        <w:rPr>
          <w:b/>
          <w:bCs/>
          <w:i/>
          <w:iCs/>
          <w:sz w:val="22"/>
          <w:szCs w:val="22"/>
        </w:rPr>
        <w:t>ý</w:t>
      </w:r>
      <w:r w:rsidRPr="00094181">
        <w:rPr>
          <w:b/>
          <w:bCs/>
          <w:i/>
          <w:iCs/>
          <w:sz w:val="22"/>
          <w:szCs w:val="22"/>
        </w:rPr>
        <w:t xml:space="preserve"> reg</w:t>
      </w:r>
      <w:r w:rsidR="008F3949" w:rsidRPr="00094181">
        <w:rPr>
          <w:b/>
          <w:bCs/>
          <w:i/>
          <w:iCs/>
          <w:sz w:val="22"/>
          <w:szCs w:val="22"/>
        </w:rPr>
        <w:t>ionáln</w:t>
      </w:r>
      <w:r w:rsidR="00094181" w:rsidRPr="00094181">
        <w:rPr>
          <w:b/>
          <w:bCs/>
          <w:i/>
          <w:iCs/>
          <w:sz w:val="22"/>
          <w:szCs w:val="22"/>
        </w:rPr>
        <w:t>y</w:t>
      </w:r>
      <w:r w:rsidR="008F3949" w:rsidRPr="00094181">
        <w:rPr>
          <w:b/>
          <w:bCs/>
          <w:i/>
          <w:iCs/>
          <w:sz w:val="22"/>
          <w:szCs w:val="22"/>
        </w:rPr>
        <w:t xml:space="preserve"> operačn</w:t>
      </w:r>
      <w:r w:rsidR="00094181" w:rsidRPr="00094181">
        <w:rPr>
          <w:b/>
          <w:bCs/>
          <w:i/>
          <w:iCs/>
          <w:sz w:val="22"/>
          <w:szCs w:val="22"/>
        </w:rPr>
        <w:t>ý</w:t>
      </w:r>
      <w:r w:rsidRPr="00094181">
        <w:rPr>
          <w:b/>
          <w:bCs/>
          <w:i/>
          <w:iCs/>
          <w:sz w:val="22"/>
          <w:szCs w:val="22"/>
        </w:rPr>
        <w:t xml:space="preserve"> program </w:t>
      </w:r>
      <w:r w:rsidR="008F3949" w:rsidRPr="00094181">
        <w:rPr>
          <w:b/>
          <w:bCs/>
          <w:i/>
          <w:iCs/>
          <w:sz w:val="22"/>
          <w:szCs w:val="22"/>
        </w:rPr>
        <w:t xml:space="preserve">2014 – 2020, verzia </w:t>
      </w:r>
      <w:r w:rsidR="00DC06DD">
        <w:rPr>
          <w:b/>
          <w:bCs/>
          <w:i/>
          <w:iCs/>
          <w:sz w:val="22"/>
          <w:szCs w:val="22"/>
        </w:rPr>
        <w:t>13</w:t>
      </w:r>
      <w:r w:rsidR="00072B20" w:rsidRPr="00094181">
        <w:rPr>
          <w:b/>
          <w:bCs/>
          <w:i/>
          <w:iCs/>
          <w:sz w:val="22"/>
          <w:szCs w:val="22"/>
        </w:rPr>
        <w:t>.0</w:t>
      </w:r>
    </w:p>
    <w:p w14:paraId="7BAD46F9" w14:textId="77777777" w:rsidR="00E54ACB" w:rsidRPr="00F510FE" w:rsidRDefault="00E54ACB" w:rsidP="00F510FE">
      <w:pPr>
        <w:spacing w:before="24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2.</w:t>
      </w:r>
      <w:r w:rsidRPr="00F510FE">
        <w:rPr>
          <w:b/>
          <w:bCs/>
          <w:sz w:val="22"/>
          <w:szCs w:val="22"/>
        </w:rPr>
        <w:tab/>
        <w:t>Charakter</w:t>
      </w:r>
    </w:p>
    <w:p w14:paraId="35C50E0B" w14:textId="287DE443" w:rsidR="00E974BC" w:rsidRPr="00F510FE" w:rsidRDefault="007708EA" w:rsidP="00AC1D1A">
      <w:pPr>
        <w:spacing w:before="120" w:line="276" w:lineRule="auto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Integrovaný regionálny operačný program (ďalej len „IROP“)</w:t>
      </w:r>
      <w:r w:rsidR="00E54ACB" w:rsidRPr="00F510FE">
        <w:rPr>
          <w:sz w:val="22"/>
          <w:szCs w:val="22"/>
        </w:rPr>
        <w:t xml:space="preserve"> predstavuje strednodobý strategický dokument určujúci základné rámce a prioritné oblasti pre </w:t>
      </w:r>
      <w:r w:rsidRPr="00F510FE">
        <w:rPr>
          <w:sz w:val="22"/>
          <w:szCs w:val="22"/>
        </w:rPr>
        <w:t>regionálny rozvoj SR</w:t>
      </w:r>
      <w:r w:rsidR="00724642" w:rsidRPr="00F510FE">
        <w:rPr>
          <w:sz w:val="22"/>
          <w:szCs w:val="22"/>
        </w:rPr>
        <w:t xml:space="preserve"> v </w:t>
      </w:r>
      <w:r w:rsidR="004835E8" w:rsidRPr="00F510FE">
        <w:rPr>
          <w:sz w:val="22"/>
          <w:szCs w:val="22"/>
        </w:rPr>
        <w:t xml:space="preserve">programovom období </w:t>
      </w:r>
      <w:r w:rsidR="00E54ACB" w:rsidRPr="00F510FE">
        <w:rPr>
          <w:sz w:val="22"/>
          <w:szCs w:val="22"/>
        </w:rPr>
        <w:t>2014</w:t>
      </w:r>
      <w:r w:rsidR="004835E8" w:rsidRPr="00F510FE">
        <w:rPr>
          <w:sz w:val="22"/>
          <w:szCs w:val="22"/>
        </w:rPr>
        <w:t xml:space="preserve"> </w:t>
      </w:r>
      <w:r w:rsidR="00E54ACB" w:rsidRPr="00F510FE">
        <w:rPr>
          <w:sz w:val="22"/>
          <w:szCs w:val="22"/>
        </w:rPr>
        <w:t>-</w:t>
      </w:r>
      <w:r w:rsidR="004835E8" w:rsidRPr="00F510FE">
        <w:rPr>
          <w:sz w:val="22"/>
          <w:szCs w:val="22"/>
        </w:rPr>
        <w:t xml:space="preserve"> </w:t>
      </w:r>
      <w:r w:rsidR="00E54ACB" w:rsidRPr="00F510FE">
        <w:rPr>
          <w:sz w:val="22"/>
          <w:szCs w:val="22"/>
        </w:rPr>
        <w:t xml:space="preserve">2020. </w:t>
      </w:r>
      <w:r w:rsidR="00E974BC" w:rsidRPr="00F510FE">
        <w:rPr>
          <w:sz w:val="22"/>
          <w:szCs w:val="22"/>
        </w:rPr>
        <w:t xml:space="preserve">IROP bol schválený </w:t>
      </w:r>
      <w:r w:rsidR="005D3F30" w:rsidRPr="00F510FE">
        <w:rPr>
          <w:sz w:val="22"/>
          <w:szCs w:val="22"/>
        </w:rPr>
        <w:t xml:space="preserve">vykonávacím rozhodnutím </w:t>
      </w:r>
      <w:r w:rsidR="005D3F30" w:rsidRPr="00F510FE">
        <w:rPr>
          <w:spacing w:val="-2"/>
          <w:sz w:val="22"/>
          <w:szCs w:val="22"/>
        </w:rPr>
        <w:t>Európskej komisie C(2014)</w:t>
      </w:r>
      <w:r w:rsidR="00393026" w:rsidRPr="00F510FE">
        <w:rPr>
          <w:spacing w:val="-2"/>
          <w:sz w:val="22"/>
          <w:szCs w:val="22"/>
        </w:rPr>
        <w:t xml:space="preserve"> 10182 zo dňa 18. decembra 2014. Riad</w:t>
      </w:r>
      <w:r w:rsidR="00EB2F61" w:rsidRPr="00F510FE">
        <w:rPr>
          <w:spacing w:val="-2"/>
          <w:sz w:val="22"/>
          <w:szCs w:val="22"/>
        </w:rPr>
        <w:t>iacim orgánom pre </w:t>
      </w:r>
      <w:r w:rsidR="00393026" w:rsidRPr="00F510FE">
        <w:rPr>
          <w:spacing w:val="-2"/>
          <w:sz w:val="22"/>
          <w:szCs w:val="22"/>
        </w:rPr>
        <w:t>IROP</w:t>
      </w:r>
      <w:r w:rsidR="004835E8" w:rsidRPr="00F510FE">
        <w:rPr>
          <w:sz w:val="22"/>
          <w:szCs w:val="22"/>
        </w:rPr>
        <w:t xml:space="preserve"> zodpovedným za prípravu a implementáciu </w:t>
      </w:r>
      <w:r w:rsidR="00393026" w:rsidRPr="00F510FE">
        <w:rPr>
          <w:sz w:val="22"/>
          <w:szCs w:val="22"/>
        </w:rPr>
        <w:t xml:space="preserve">je Ministerstvo </w:t>
      </w:r>
      <w:r w:rsidR="00591479">
        <w:rPr>
          <w:sz w:val="22"/>
          <w:szCs w:val="22"/>
        </w:rPr>
        <w:t xml:space="preserve">investícií, regionálneho rozvoja a informatizácie </w:t>
      </w:r>
      <w:r w:rsidR="00393026" w:rsidRPr="00F510FE">
        <w:rPr>
          <w:sz w:val="22"/>
          <w:szCs w:val="22"/>
        </w:rPr>
        <w:t>SR</w:t>
      </w:r>
      <w:r w:rsidR="00D82DDA" w:rsidRPr="00F510FE">
        <w:rPr>
          <w:sz w:val="22"/>
          <w:szCs w:val="22"/>
        </w:rPr>
        <w:t xml:space="preserve"> (ďalej len „</w:t>
      </w:r>
      <w:r w:rsidR="00591479">
        <w:rPr>
          <w:sz w:val="22"/>
          <w:szCs w:val="22"/>
        </w:rPr>
        <w:t>MIRRI</w:t>
      </w:r>
      <w:r w:rsidR="00D82DDA" w:rsidRPr="00F510FE">
        <w:rPr>
          <w:sz w:val="22"/>
          <w:szCs w:val="22"/>
        </w:rPr>
        <w:t xml:space="preserve"> SR“)</w:t>
      </w:r>
      <w:r w:rsidR="002258C1" w:rsidRPr="00F510FE">
        <w:rPr>
          <w:sz w:val="22"/>
          <w:szCs w:val="22"/>
        </w:rPr>
        <w:t>.</w:t>
      </w:r>
      <w:r w:rsidR="0009126A" w:rsidRPr="0009126A">
        <w:rPr>
          <w:sz w:val="22"/>
          <w:szCs w:val="22"/>
        </w:rPr>
        <w:t xml:space="preserve"> </w:t>
      </w:r>
      <w:r w:rsidR="0009126A">
        <w:rPr>
          <w:sz w:val="22"/>
          <w:szCs w:val="22"/>
        </w:rPr>
        <w:t>Funkciu sprostredkovateľských orgánov pre IROP vykonávajú Ministerstvo kultúry SR, Ministerstvo zdravotníctva SR, 7 vyšších územných celkov a 8 krajských miest.</w:t>
      </w:r>
    </w:p>
    <w:p w14:paraId="747D7636" w14:textId="77777777" w:rsidR="00561306" w:rsidRPr="00F31B03" w:rsidRDefault="00561306" w:rsidP="00AC1D1A">
      <w:pPr>
        <w:spacing w:before="120" w:line="276" w:lineRule="auto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Posudzovanie vplyvov IROP na životné prostredie </w:t>
      </w:r>
      <w:r>
        <w:rPr>
          <w:sz w:val="22"/>
          <w:szCs w:val="22"/>
        </w:rPr>
        <w:t>Riadiaci orgán pre IROP</w:t>
      </w:r>
      <w:r w:rsidRPr="00F510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(ďalej len „RO pre IROP“) </w:t>
      </w:r>
      <w:r w:rsidRPr="00F510FE">
        <w:rPr>
          <w:sz w:val="22"/>
          <w:szCs w:val="22"/>
        </w:rPr>
        <w:t xml:space="preserve">– </w:t>
      </w:r>
      <w:r>
        <w:rPr>
          <w:sz w:val="22"/>
          <w:szCs w:val="22"/>
        </w:rPr>
        <w:t>MIRRI</w:t>
      </w:r>
      <w:r w:rsidRPr="00F510FE">
        <w:rPr>
          <w:sz w:val="22"/>
          <w:szCs w:val="22"/>
        </w:rPr>
        <w:t xml:space="preserve"> SR </w:t>
      </w:r>
      <w:r>
        <w:rPr>
          <w:sz w:val="22"/>
          <w:szCs w:val="22"/>
        </w:rPr>
        <w:t xml:space="preserve">zabezpečoval </w:t>
      </w:r>
      <w:r w:rsidRPr="00F510FE">
        <w:rPr>
          <w:sz w:val="22"/>
          <w:szCs w:val="22"/>
        </w:rPr>
        <w:t xml:space="preserve">v spolupráci s Ministerstvom životného prostredia SR (ďalej len „MŽP SR“) </w:t>
      </w:r>
      <w:r w:rsidRPr="00B53EC4">
        <w:rPr>
          <w:sz w:val="22"/>
          <w:szCs w:val="22"/>
        </w:rPr>
        <w:t xml:space="preserve">podľa smernice Európskeho parlamentu a Rady 2001/42/ES z 27. júna 2001 o posudzovaní vplyvov určitých plánov a programov na životné prostredie a podľa zákona č. 24/2006 Z. z. o posudzovaní vplyvov na životné prostredie a o zmene a doplnení niektorých zákonov v znení </w:t>
      </w:r>
      <w:r w:rsidRPr="00BC5308">
        <w:rPr>
          <w:sz w:val="22"/>
          <w:szCs w:val="22"/>
        </w:rPr>
        <w:t>neskorších predpisov (ďalej „zákon č. 24/2006 Z. z.“). Proces posudzovania vplyvov IROP na životné</w:t>
      </w:r>
      <w:r w:rsidRPr="00BC5308">
        <w:rPr>
          <w:spacing w:val="-2"/>
          <w:sz w:val="22"/>
          <w:szCs w:val="22"/>
        </w:rPr>
        <w:t xml:space="preserve"> prostredie bol </w:t>
      </w:r>
      <w:r w:rsidRPr="00BC5308">
        <w:rPr>
          <w:sz w:val="22"/>
          <w:szCs w:val="22"/>
        </w:rPr>
        <w:t xml:space="preserve">zverejnený na webových sídlach MIRRI SR a MŽP SR. Na základe výsledku procesu posudzovania vplyvov </w:t>
      </w:r>
      <w:r>
        <w:rPr>
          <w:sz w:val="22"/>
          <w:szCs w:val="22"/>
        </w:rPr>
        <w:t>IROP</w:t>
      </w:r>
      <w:r w:rsidRPr="00BC5308">
        <w:rPr>
          <w:sz w:val="22"/>
          <w:szCs w:val="22"/>
        </w:rPr>
        <w:t xml:space="preserve"> na životné prostredie podľa ustanovení zákona a Smernice 2001/42/ES Európskeho parlamentu a Rady z 27. júna 2001 MŽP SR vydalo dňa 12.05.2014 stanovisko (číslo: 3000/2024-3.4/</w:t>
      </w:r>
      <w:proofErr w:type="spellStart"/>
      <w:r w:rsidRPr="00BC5308">
        <w:rPr>
          <w:sz w:val="22"/>
          <w:szCs w:val="22"/>
        </w:rPr>
        <w:t>zk</w:t>
      </w:r>
      <w:proofErr w:type="spellEnd"/>
      <w:r w:rsidRPr="00BC5308">
        <w:rPr>
          <w:sz w:val="22"/>
          <w:szCs w:val="22"/>
        </w:rPr>
        <w:t>), v ktorom odporučilo prijať strategický dokument s celoštátnym dosahom „Integrovaný regionálny operačný program 2014-2020“.</w:t>
      </w:r>
    </w:p>
    <w:p w14:paraId="14156F31" w14:textId="20CFFF61" w:rsidR="00D82DDA" w:rsidRPr="00F510FE" w:rsidRDefault="00D82DDA" w:rsidP="00AC1D1A">
      <w:pPr>
        <w:spacing w:before="120" w:line="276" w:lineRule="auto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V súlade s čl. 30 Nariadeni</w:t>
      </w:r>
      <w:r w:rsidR="00171C1A">
        <w:rPr>
          <w:sz w:val="22"/>
          <w:szCs w:val="22"/>
        </w:rPr>
        <w:t>a</w:t>
      </w:r>
      <w:r w:rsidRPr="00F510FE">
        <w:rPr>
          <w:sz w:val="22"/>
          <w:szCs w:val="22"/>
        </w:rPr>
        <w:t xml:space="preserve"> Európ</w:t>
      </w:r>
      <w:r w:rsidR="00724642" w:rsidRPr="00F510FE">
        <w:rPr>
          <w:sz w:val="22"/>
          <w:szCs w:val="22"/>
        </w:rPr>
        <w:t>skeho parlamentu a Rady (EÚ) č. </w:t>
      </w:r>
      <w:r w:rsidRPr="00F510FE">
        <w:rPr>
          <w:sz w:val="22"/>
          <w:szCs w:val="22"/>
        </w:rPr>
        <w:t>1303/2013, ktorým sa stanovuje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 a ktorým sa zrušuje nar</w:t>
      </w:r>
      <w:r w:rsidR="004A2AA3" w:rsidRPr="00F510FE">
        <w:rPr>
          <w:sz w:val="22"/>
          <w:szCs w:val="22"/>
        </w:rPr>
        <w:t>iadenie Rady (ES) č. 1083/2006) (ďalej len „všeobecné nariadenie</w:t>
      </w:r>
      <w:r w:rsidR="00171C1A">
        <w:rPr>
          <w:sz w:val="22"/>
          <w:szCs w:val="22"/>
        </w:rPr>
        <w:t>“</w:t>
      </w:r>
      <w:r w:rsidR="004A2AA3" w:rsidRPr="00F510FE">
        <w:rPr>
          <w:sz w:val="22"/>
          <w:szCs w:val="22"/>
        </w:rPr>
        <w:t xml:space="preserve">) </w:t>
      </w:r>
      <w:r w:rsidRPr="00F510FE">
        <w:rPr>
          <w:sz w:val="22"/>
          <w:szCs w:val="22"/>
        </w:rPr>
        <w:t>má RO právo navrhnúť zmenu operačného programu. Žiadosť o zmen</w:t>
      </w:r>
      <w:r w:rsidR="0082329E" w:rsidRPr="00F510FE">
        <w:rPr>
          <w:sz w:val="22"/>
          <w:szCs w:val="22"/>
        </w:rPr>
        <w:t>y</w:t>
      </w:r>
      <w:r w:rsidRPr="00F510FE">
        <w:rPr>
          <w:sz w:val="22"/>
          <w:szCs w:val="22"/>
        </w:rPr>
        <w:t xml:space="preserve"> </w:t>
      </w:r>
      <w:r w:rsidR="0082329E" w:rsidRPr="00F510FE">
        <w:rPr>
          <w:sz w:val="22"/>
          <w:szCs w:val="22"/>
        </w:rPr>
        <w:t>programov musia byť riadne odôvodnené</w:t>
      </w:r>
      <w:r w:rsidRPr="00F510FE">
        <w:rPr>
          <w:sz w:val="22"/>
          <w:szCs w:val="22"/>
        </w:rPr>
        <w:t xml:space="preserve"> a </w:t>
      </w:r>
      <w:r w:rsidR="0082329E" w:rsidRPr="00F510FE">
        <w:rPr>
          <w:sz w:val="22"/>
          <w:szCs w:val="22"/>
        </w:rPr>
        <w:t>musia</w:t>
      </w:r>
      <w:r w:rsidRPr="00F510FE">
        <w:rPr>
          <w:sz w:val="22"/>
          <w:szCs w:val="22"/>
        </w:rPr>
        <w:t xml:space="preserve"> obsahovať najmä opis očaká</w:t>
      </w:r>
      <w:r w:rsidR="00CC339B" w:rsidRPr="00F510FE">
        <w:rPr>
          <w:sz w:val="22"/>
          <w:szCs w:val="22"/>
        </w:rPr>
        <w:t>vaného dosahu zmien programu na </w:t>
      </w:r>
      <w:r w:rsidRPr="00F510FE">
        <w:rPr>
          <w:sz w:val="22"/>
          <w:szCs w:val="22"/>
        </w:rPr>
        <w:t>naplnenie stratégie Únie na zabezpečenie inteligentného, udržateľného a </w:t>
      </w:r>
      <w:proofErr w:type="spellStart"/>
      <w:r w:rsidRPr="00F510FE">
        <w:rPr>
          <w:sz w:val="22"/>
          <w:szCs w:val="22"/>
        </w:rPr>
        <w:t>inkluzívneho</w:t>
      </w:r>
      <w:proofErr w:type="spellEnd"/>
      <w:r w:rsidRPr="00F510FE">
        <w:rPr>
          <w:sz w:val="22"/>
          <w:szCs w:val="22"/>
        </w:rPr>
        <w:t xml:space="preserve"> rastu a </w:t>
      </w:r>
      <w:r w:rsidR="0082329E" w:rsidRPr="00F510FE">
        <w:rPr>
          <w:sz w:val="22"/>
          <w:szCs w:val="22"/>
        </w:rPr>
        <w:t>špecifických</w:t>
      </w:r>
      <w:r w:rsidRPr="00F510FE">
        <w:rPr>
          <w:sz w:val="22"/>
          <w:szCs w:val="22"/>
        </w:rPr>
        <w:t xml:space="preserve"> cieľov stanovených v</w:t>
      </w:r>
      <w:r w:rsidR="0082329E" w:rsidRPr="00F510FE">
        <w:rPr>
          <w:sz w:val="22"/>
          <w:szCs w:val="22"/>
        </w:rPr>
        <w:t xml:space="preserve"> operačnom </w:t>
      </w:r>
      <w:r w:rsidRPr="00F510FE">
        <w:rPr>
          <w:sz w:val="22"/>
          <w:szCs w:val="22"/>
        </w:rPr>
        <w:t xml:space="preserve">programe. </w:t>
      </w:r>
    </w:p>
    <w:p w14:paraId="46A57CF6" w14:textId="77777777" w:rsidR="003E6B14" w:rsidRDefault="003E6B14" w:rsidP="003E6B14">
      <w:pPr>
        <w:spacing w:line="276" w:lineRule="auto"/>
        <w:ind w:left="567"/>
        <w:jc w:val="both"/>
        <w:rPr>
          <w:sz w:val="22"/>
          <w:szCs w:val="22"/>
        </w:rPr>
      </w:pPr>
    </w:p>
    <w:p w14:paraId="62DBF652" w14:textId="3122858E" w:rsidR="00561306" w:rsidRDefault="00561306" w:rsidP="00AC1D1A">
      <w:pPr>
        <w:spacing w:line="276" w:lineRule="auto"/>
        <w:jc w:val="both"/>
        <w:rPr>
          <w:sz w:val="22"/>
          <w:szCs w:val="22"/>
        </w:rPr>
      </w:pPr>
      <w:r w:rsidRPr="00561306">
        <w:rPr>
          <w:sz w:val="22"/>
          <w:szCs w:val="22"/>
        </w:rPr>
        <w:t xml:space="preserve">Pri zmenách strategického dokumentu, ktoré sú predmetom prípravy a schvaľovania na štátnej úrovni, a ktoré by mohli mať vplyv na oblasť životného prostredia, je nevyhnutné opätovne pristúpiť k jeho environmentálnemu posudzovaniu. Výnimkou z procesu strategického environmentálneho posudzovania sú navrhované aktivity </w:t>
      </w:r>
      <w:r>
        <w:rPr>
          <w:sz w:val="22"/>
          <w:szCs w:val="22"/>
        </w:rPr>
        <w:t>IROP</w:t>
      </w:r>
      <w:r w:rsidRPr="00561306">
        <w:rPr>
          <w:sz w:val="22"/>
          <w:szCs w:val="22"/>
        </w:rPr>
        <w:t xml:space="preserve"> v rámci novej prioritnej osi </w:t>
      </w:r>
      <w:r w:rsidR="00EE43E7">
        <w:rPr>
          <w:sz w:val="22"/>
          <w:szCs w:val="22"/>
        </w:rPr>
        <w:t xml:space="preserve">č. </w:t>
      </w:r>
      <w:r>
        <w:rPr>
          <w:sz w:val="22"/>
          <w:szCs w:val="22"/>
        </w:rPr>
        <w:t>9</w:t>
      </w:r>
      <w:r w:rsidRPr="00561306">
        <w:rPr>
          <w:sz w:val="22"/>
          <w:szCs w:val="22"/>
        </w:rPr>
        <w:t xml:space="preserve"> súvisiace s riešením utečeneckej krízy, ktoré nepodliehajú ustanoveniam zákona č. 24/2006 Z. z. Podľa § 1 ods. 2 tohto zákona sa tento zákon nevzťahuje na strategické dokumenty, ktorých jediným účelom je národná obrana alebo civilná ochrana, finančné alebo rozpočtové plány a programy, čo vychádza z transponovanej smernice SEA 2001/42/ES článok 3(8). </w:t>
      </w:r>
      <w:r w:rsidRPr="00561306">
        <w:rPr>
          <w:sz w:val="22"/>
          <w:szCs w:val="22"/>
        </w:rPr>
        <w:lastRenderedPageBreak/>
        <w:t xml:space="preserve">Jediným cieľom opatrení v rámci novovytvorenej prioritnej osi </w:t>
      </w:r>
      <w:r w:rsidR="00EE43E7">
        <w:rPr>
          <w:sz w:val="22"/>
          <w:szCs w:val="22"/>
        </w:rPr>
        <w:t xml:space="preserve">č. </w:t>
      </w:r>
      <w:r>
        <w:rPr>
          <w:sz w:val="22"/>
          <w:szCs w:val="22"/>
        </w:rPr>
        <w:t>9</w:t>
      </w:r>
      <w:r w:rsidRPr="00561306">
        <w:rPr>
          <w:sz w:val="22"/>
          <w:szCs w:val="22"/>
        </w:rPr>
        <w:t xml:space="preserve"> je civilná ochrana utečencov z Ukrajiny. Uvedený postup bol konzultovaný so zástupcami EK, ako aj s MŽP SR.</w:t>
      </w:r>
    </w:p>
    <w:p w14:paraId="411B3028" w14:textId="77777777" w:rsidR="00561306" w:rsidRDefault="00561306" w:rsidP="00561306">
      <w:pPr>
        <w:spacing w:line="276" w:lineRule="auto"/>
        <w:ind w:left="567"/>
        <w:jc w:val="both"/>
        <w:rPr>
          <w:sz w:val="22"/>
          <w:szCs w:val="22"/>
        </w:rPr>
      </w:pPr>
    </w:p>
    <w:p w14:paraId="420A4005" w14:textId="77777777" w:rsidR="00CD726B" w:rsidRPr="00CD726B" w:rsidRDefault="00CD726B" w:rsidP="00CD726B">
      <w:pPr>
        <w:spacing w:before="120" w:line="300" w:lineRule="auto"/>
        <w:jc w:val="both"/>
        <w:rPr>
          <w:sz w:val="22"/>
          <w:szCs w:val="22"/>
        </w:rPr>
      </w:pPr>
      <w:r w:rsidRPr="00CD726B">
        <w:rPr>
          <w:sz w:val="22"/>
          <w:szCs w:val="22"/>
        </w:rPr>
        <w:t>Napriek výnimke zo zákona č. 24/2006 Z. z.</w:t>
      </w:r>
      <w:r w:rsidRPr="00CD726B">
        <w:rPr>
          <w:sz w:val="22"/>
          <w:szCs w:val="22"/>
          <w:vertAlign w:val="superscript"/>
        </w:rPr>
        <w:footnoteReference w:id="1"/>
      </w:r>
      <w:r w:rsidRPr="00CD726B">
        <w:rPr>
          <w:sz w:val="22"/>
          <w:szCs w:val="22"/>
          <w:vertAlign w:val="superscript"/>
        </w:rPr>
        <w:t xml:space="preserve"> </w:t>
      </w:r>
      <w:r w:rsidRPr="00CD726B">
        <w:rPr>
          <w:sz w:val="22"/>
          <w:szCs w:val="22"/>
        </w:rPr>
        <w:t>RO pre IROP vykoná proces posúdenia zmien IROP, verzia 13.0 na životné prostredie v rámci zisťovacieho konania. Predmetom posúdenia budú všetky zmeny dokumentu vrátane novo vytvorenej prioritnej osi 9 FAST CARE. Dôvodom je zamedzenie možných nedorozumení v procese pripom</w:t>
      </w:r>
      <w:bookmarkStart w:id="0" w:name="_GoBack"/>
      <w:bookmarkEnd w:id="0"/>
      <w:r w:rsidRPr="00CD726B">
        <w:rPr>
          <w:sz w:val="22"/>
          <w:szCs w:val="22"/>
        </w:rPr>
        <w:t xml:space="preserve">ienkovania vykonaných zmien relevantnými subjektami. </w:t>
      </w:r>
    </w:p>
    <w:p w14:paraId="70D12C46" w14:textId="77777777" w:rsidR="00CD726B" w:rsidRDefault="00CD726B" w:rsidP="00AC1D1A">
      <w:pPr>
        <w:spacing w:line="276" w:lineRule="auto"/>
        <w:jc w:val="both"/>
        <w:rPr>
          <w:sz w:val="22"/>
          <w:szCs w:val="22"/>
        </w:rPr>
      </w:pPr>
    </w:p>
    <w:p w14:paraId="6A4CEB46" w14:textId="3CCF1E7B" w:rsidR="00BC5308" w:rsidRDefault="00BC5308" w:rsidP="00AC1D1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zmeny </w:t>
      </w:r>
      <w:r w:rsidR="008B3CCA">
        <w:rPr>
          <w:sz w:val="22"/>
          <w:szCs w:val="22"/>
        </w:rPr>
        <w:t xml:space="preserve">IROP, verzia </w:t>
      </w:r>
      <w:r>
        <w:rPr>
          <w:sz w:val="22"/>
          <w:szCs w:val="22"/>
        </w:rPr>
        <w:t>13</w:t>
      </w:r>
      <w:r w:rsidR="008B3CCA">
        <w:rPr>
          <w:sz w:val="22"/>
          <w:szCs w:val="22"/>
        </w:rPr>
        <w:t>.0</w:t>
      </w:r>
      <w:r w:rsidR="008B3CCA" w:rsidRPr="008B3CCA">
        <w:rPr>
          <w:sz w:val="22"/>
          <w:szCs w:val="22"/>
        </w:rPr>
        <w:t xml:space="preserve"> </w:t>
      </w:r>
      <w:r w:rsidRPr="00BC5308">
        <w:rPr>
          <w:sz w:val="22"/>
          <w:szCs w:val="22"/>
        </w:rPr>
        <w:t xml:space="preserve">je predovšetkým vytvorenie novej prioritnej osi s názvom „Prioritná os </w:t>
      </w:r>
      <w:r>
        <w:rPr>
          <w:sz w:val="22"/>
          <w:szCs w:val="22"/>
        </w:rPr>
        <w:t>9</w:t>
      </w:r>
      <w:r w:rsidRPr="00BC5308">
        <w:rPr>
          <w:sz w:val="22"/>
          <w:szCs w:val="22"/>
        </w:rPr>
        <w:t xml:space="preserve"> –</w:t>
      </w:r>
      <w:r w:rsidR="00E178E8">
        <w:rPr>
          <w:sz w:val="22"/>
          <w:szCs w:val="22"/>
        </w:rPr>
        <w:t xml:space="preserve"> </w:t>
      </w:r>
      <w:r>
        <w:rPr>
          <w:sz w:val="22"/>
          <w:szCs w:val="22"/>
        </w:rPr>
        <w:t>FAST CARE“</w:t>
      </w:r>
      <w:r w:rsidRPr="00BC5308">
        <w:rPr>
          <w:sz w:val="22"/>
          <w:szCs w:val="22"/>
        </w:rPr>
        <w:t xml:space="preserve"> a úprava finančného rámca </w:t>
      </w:r>
      <w:r>
        <w:rPr>
          <w:sz w:val="22"/>
          <w:szCs w:val="22"/>
        </w:rPr>
        <w:t>IROP</w:t>
      </w:r>
      <w:r w:rsidRPr="00BC5308">
        <w:rPr>
          <w:sz w:val="22"/>
          <w:szCs w:val="22"/>
        </w:rPr>
        <w:t xml:space="preserve"> formou interných presunov.</w:t>
      </w:r>
      <w:r w:rsidR="003E6B14">
        <w:rPr>
          <w:sz w:val="22"/>
          <w:szCs w:val="22"/>
        </w:rPr>
        <w:t xml:space="preserve"> Zároveň došlo k presunu finančných prostriedkov do prioritnej osi 4 </w:t>
      </w:r>
      <w:r w:rsidR="003E6B14" w:rsidRPr="003E6B14">
        <w:rPr>
          <w:sz w:val="22"/>
          <w:szCs w:val="22"/>
        </w:rPr>
        <w:t>Zlepšenie kvality života v regiónoch s dôrazom na životné prostredie</w:t>
      </w:r>
      <w:r w:rsidR="003E6B14">
        <w:rPr>
          <w:sz w:val="22"/>
          <w:szCs w:val="22"/>
        </w:rPr>
        <w:t xml:space="preserve">, do špecifického cieľa </w:t>
      </w:r>
      <w:r w:rsidR="003E6B14" w:rsidRPr="003E6B14">
        <w:rPr>
          <w:sz w:val="22"/>
          <w:szCs w:val="22"/>
        </w:rPr>
        <w:t>4.1 Zvýšenie energetickej efektívnosti bytových domov</w:t>
      </w:r>
      <w:r w:rsidR="00E975A2">
        <w:rPr>
          <w:sz w:val="22"/>
          <w:szCs w:val="22"/>
        </w:rPr>
        <w:t xml:space="preserve"> a do prioritnej osi 2 </w:t>
      </w:r>
      <w:r w:rsidR="00E975A2" w:rsidRPr="00E975A2">
        <w:rPr>
          <w:sz w:val="22"/>
          <w:szCs w:val="22"/>
        </w:rPr>
        <w:t>Ľahší prístup k efektívnym a kvalitnejším službám</w:t>
      </w:r>
      <w:r w:rsidR="00E975A2">
        <w:rPr>
          <w:sz w:val="22"/>
          <w:szCs w:val="22"/>
        </w:rPr>
        <w:t xml:space="preserve">, do špecifického cieľa </w:t>
      </w:r>
      <w:r w:rsidR="00E975A2" w:rsidRPr="00E975A2">
        <w:rPr>
          <w:sz w:val="22"/>
          <w:szCs w:val="22"/>
        </w:rPr>
        <w:t>2.1.4 Posilnenie kapacít v zdravotníckom systéme a ochrana verejného zdravia ako reakciu na pandémiu COVID-19</w:t>
      </w:r>
      <w:r w:rsidR="00E975A2">
        <w:rPr>
          <w:sz w:val="22"/>
          <w:szCs w:val="22"/>
        </w:rPr>
        <w:t xml:space="preserve">. </w:t>
      </w:r>
      <w:r w:rsidR="00EE43E7">
        <w:rPr>
          <w:sz w:val="22"/>
          <w:szCs w:val="22"/>
        </w:rPr>
        <w:t xml:space="preserve">Časť finančných prostriedkov v prioritnej osi 1 a prioritnej osi 2 bude smerovaná do finančného nástroja. </w:t>
      </w:r>
      <w:r w:rsidRPr="00BC5308">
        <w:rPr>
          <w:sz w:val="22"/>
          <w:szCs w:val="22"/>
        </w:rPr>
        <w:t xml:space="preserve">Cieľom týchto zmien a doplnení v </w:t>
      </w:r>
      <w:r>
        <w:rPr>
          <w:sz w:val="22"/>
          <w:szCs w:val="22"/>
        </w:rPr>
        <w:t>IROP</w:t>
      </w:r>
      <w:r w:rsidRPr="00BC5308">
        <w:rPr>
          <w:sz w:val="22"/>
          <w:szCs w:val="22"/>
        </w:rPr>
        <w:t xml:space="preserve"> je zabezpečiť maximálne využitie disponibilných zdrojov európskych štrukturálnych a investičných fondov na riešenie dôsledkov migračnej vlny súvisiacej s voj</w:t>
      </w:r>
      <w:r>
        <w:rPr>
          <w:sz w:val="22"/>
          <w:szCs w:val="22"/>
        </w:rPr>
        <w:t xml:space="preserve">enským konfliktom na Ukrajine. </w:t>
      </w:r>
      <w:r w:rsidR="00AC1D1A">
        <w:rPr>
          <w:sz w:val="22"/>
          <w:szCs w:val="22"/>
        </w:rPr>
        <w:t>S</w:t>
      </w:r>
      <w:r w:rsidR="003E6B14">
        <w:rPr>
          <w:sz w:val="22"/>
          <w:szCs w:val="22"/>
        </w:rPr>
        <w:t> finančnými presunmi v rámci vybraných prioritných osí súvisia aj zmeny cieľových hodnôt vybraných merateľných ukazovateľov.</w:t>
      </w:r>
    </w:p>
    <w:p w14:paraId="2F55FD38" w14:textId="7AFA7F67" w:rsidR="00E54ACB" w:rsidRPr="00F510FE" w:rsidRDefault="00E54ACB" w:rsidP="00F039E3">
      <w:pPr>
        <w:spacing w:before="24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3.</w:t>
      </w:r>
      <w:r w:rsidRPr="00F510FE">
        <w:rPr>
          <w:b/>
          <w:bCs/>
          <w:sz w:val="22"/>
          <w:szCs w:val="22"/>
        </w:rPr>
        <w:tab/>
        <w:t>Hlavné ciele</w:t>
      </w:r>
    </w:p>
    <w:p w14:paraId="002140B6" w14:textId="5DAFC791" w:rsidR="00230B90" w:rsidRPr="00F510FE" w:rsidRDefault="00C63DE7" w:rsidP="00AC1D1A">
      <w:pPr>
        <w:spacing w:before="120" w:line="276" w:lineRule="auto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Cieľom návrh</w:t>
      </w:r>
      <w:r w:rsidR="00E501C8" w:rsidRPr="00F510FE">
        <w:rPr>
          <w:sz w:val="22"/>
          <w:szCs w:val="22"/>
        </w:rPr>
        <w:t>ov</w:t>
      </w:r>
      <w:r w:rsidRPr="00F510FE">
        <w:rPr>
          <w:sz w:val="22"/>
          <w:szCs w:val="22"/>
        </w:rPr>
        <w:t xml:space="preserve"> zmien IROP</w:t>
      </w:r>
      <w:r w:rsidR="00620548" w:rsidRPr="00F510FE">
        <w:rPr>
          <w:sz w:val="22"/>
          <w:szCs w:val="22"/>
        </w:rPr>
        <w:t xml:space="preserve"> je zabezpečiť </w:t>
      </w:r>
      <w:r w:rsidR="00591479">
        <w:rPr>
          <w:sz w:val="22"/>
          <w:szCs w:val="22"/>
        </w:rPr>
        <w:t xml:space="preserve">efektívnu </w:t>
      </w:r>
      <w:r w:rsidR="00620548" w:rsidRPr="00F510FE">
        <w:rPr>
          <w:sz w:val="22"/>
          <w:szCs w:val="22"/>
        </w:rPr>
        <w:t xml:space="preserve">implementáciu IROP v súlade </w:t>
      </w:r>
      <w:r w:rsidR="00E501C8" w:rsidRPr="00F510FE">
        <w:rPr>
          <w:sz w:val="22"/>
          <w:szCs w:val="22"/>
        </w:rPr>
        <w:t xml:space="preserve">s legislatívou Európskej únie, SR a príslušnými národnými stratégiami. </w:t>
      </w:r>
    </w:p>
    <w:p w14:paraId="4C5F4063" w14:textId="77777777" w:rsidR="00711F1D" w:rsidRPr="00F510FE" w:rsidRDefault="00711F1D" w:rsidP="00AC1D1A">
      <w:pPr>
        <w:spacing w:before="120" w:line="276" w:lineRule="auto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Tým</w:t>
      </w:r>
      <w:r w:rsidR="00213CE7" w:rsidRPr="00F510FE">
        <w:rPr>
          <w:sz w:val="22"/>
          <w:szCs w:val="22"/>
        </w:rPr>
        <w:t>i</w:t>
      </w:r>
      <w:r w:rsidRPr="00F510FE">
        <w:rPr>
          <w:sz w:val="22"/>
          <w:szCs w:val="22"/>
        </w:rPr>
        <w:t>to zmenami strategického dokumentu nedochádza k zmene cieľov, ani stratégie IROP.</w:t>
      </w:r>
    </w:p>
    <w:p w14:paraId="17A77DCC" w14:textId="2E650C43" w:rsidR="00620548" w:rsidRPr="00F510FE" w:rsidRDefault="00620548" w:rsidP="00AC1D1A">
      <w:pPr>
        <w:spacing w:before="120" w:line="276" w:lineRule="auto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Ciele programu na naplnenie stratégie Únie na zabezpečenie inteligentného, udržateľného a </w:t>
      </w:r>
      <w:proofErr w:type="spellStart"/>
      <w:r w:rsidRPr="00F510FE">
        <w:rPr>
          <w:sz w:val="22"/>
          <w:szCs w:val="22"/>
        </w:rPr>
        <w:t>inkluzívneho</w:t>
      </w:r>
      <w:proofErr w:type="spellEnd"/>
      <w:r w:rsidRPr="00F510FE">
        <w:rPr>
          <w:sz w:val="22"/>
          <w:szCs w:val="22"/>
        </w:rPr>
        <w:t xml:space="preserve"> rastu a špecifických cieľov IROP</w:t>
      </w:r>
      <w:r w:rsidR="00591479">
        <w:rPr>
          <w:sz w:val="22"/>
          <w:szCs w:val="22"/>
        </w:rPr>
        <w:t>, ktoré</w:t>
      </w:r>
      <w:r w:rsidRPr="00F510FE">
        <w:rPr>
          <w:sz w:val="22"/>
          <w:szCs w:val="22"/>
        </w:rPr>
        <w:t xml:space="preserve"> zostávajú taktiež bez zmeny. </w:t>
      </w:r>
    </w:p>
    <w:p w14:paraId="0F91B6AE" w14:textId="10CB94C0" w:rsidR="009C32B1" w:rsidRPr="00F510FE" w:rsidRDefault="009C32B1" w:rsidP="00F039E3">
      <w:pPr>
        <w:widowControl/>
        <w:tabs>
          <w:tab w:val="left" w:pos="993"/>
        </w:tabs>
        <w:autoSpaceDE/>
        <w:autoSpaceDN/>
        <w:adjustRightInd/>
        <w:spacing w:line="276" w:lineRule="auto"/>
        <w:ind w:left="993" w:hanging="426"/>
        <w:rPr>
          <w:b/>
          <w:bCs/>
          <w:sz w:val="22"/>
          <w:szCs w:val="22"/>
        </w:rPr>
      </w:pPr>
    </w:p>
    <w:p w14:paraId="6419F432" w14:textId="77777777" w:rsidR="00E54ACB" w:rsidRPr="00F510FE" w:rsidRDefault="00E54ACB" w:rsidP="00D66A79">
      <w:pPr>
        <w:spacing w:before="80" w:after="8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4.</w:t>
      </w:r>
      <w:r w:rsidRPr="00F510FE">
        <w:rPr>
          <w:b/>
          <w:bCs/>
          <w:sz w:val="22"/>
          <w:szCs w:val="22"/>
        </w:rPr>
        <w:tab/>
        <w:t xml:space="preserve">Obsah </w:t>
      </w:r>
    </w:p>
    <w:p w14:paraId="051C5BBF" w14:textId="7FF7C634" w:rsidR="007A0CB7" w:rsidRDefault="008B3CCA" w:rsidP="00AC1D1A">
      <w:pPr>
        <w:spacing w:before="80" w:after="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 pre IROP vykonal v rámci revízie IROP, verzia </w:t>
      </w:r>
      <w:r w:rsidR="003E6B14">
        <w:rPr>
          <w:sz w:val="22"/>
          <w:szCs w:val="22"/>
        </w:rPr>
        <w:t>13</w:t>
      </w:r>
      <w:r>
        <w:rPr>
          <w:sz w:val="22"/>
          <w:szCs w:val="22"/>
        </w:rPr>
        <w:t xml:space="preserve">.0 </w:t>
      </w:r>
      <w:r w:rsidR="007A0CB7" w:rsidRPr="00F510FE">
        <w:rPr>
          <w:sz w:val="22"/>
          <w:szCs w:val="22"/>
        </w:rPr>
        <w:t>nasledovné zmeny:</w:t>
      </w:r>
    </w:p>
    <w:p w14:paraId="66268BA5" w14:textId="74D0222D" w:rsidR="00AC1D1A" w:rsidRPr="00AC1D1A" w:rsidRDefault="00AC1D1A" w:rsidP="00AC1D1A">
      <w:pPr>
        <w:pStyle w:val="Odsekzoznamu"/>
        <w:numPr>
          <w:ilvl w:val="0"/>
          <w:numId w:val="28"/>
        </w:numPr>
        <w:spacing w:before="240" w:after="0" w:line="300" w:lineRule="auto"/>
        <w:ind w:left="284" w:hanging="284"/>
        <w:contextualSpacing w:val="0"/>
        <w:jc w:val="both"/>
        <w:rPr>
          <w:rFonts w:ascii="Arial" w:hAnsi="Arial" w:cs="Arial"/>
          <w:b/>
          <w:spacing w:val="2"/>
        </w:rPr>
      </w:pPr>
      <w:r w:rsidRPr="00AC1D1A">
        <w:rPr>
          <w:rFonts w:ascii="Arial" w:hAnsi="Arial" w:cs="Arial"/>
          <w:b/>
          <w:spacing w:val="2"/>
        </w:rPr>
        <w:t xml:space="preserve">Doplnenie novej prioritnej osi č. 9 FAST CARE </w:t>
      </w:r>
      <w:r w:rsidR="00EE43E7">
        <w:rPr>
          <w:rFonts w:ascii="Arial" w:hAnsi="Arial" w:cs="Arial"/>
          <w:b/>
          <w:spacing w:val="2"/>
        </w:rPr>
        <w:t>IROP</w:t>
      </w:r>
    </w:p>
    <w:p w14:paraId="6626BF2B" w14:textId="0B00A290" w:rsidR="003E6B14" w:rsidRPr="00AC1D1A" w:rsidRDefault="003E6B14" w:rsidP="00EE43E7">
      <w:pPr>
        <w:spacing w:before="120" w:line="276" w:lineRule="auto"/>
        <w:jc w:val="both"/>
        <w:rPr>
          <w:sz w:val="22"/>
          <w:szCs w:val="22"/>
        </w:rPr>
      </w:pPr>
      <w:r w:rsidRPr="00AC1D1A">
        <w:rPr>
          <w:sz w:val="22"/>
          <w:szCs w:val="22"/>
        </w:rPr>
        <w:t xml:space="preserve">RO pre IROP pristúpil k vytvoreniu novej prioritnej osi č. 9 FAST CARE zameranú na financovanie potrieb utečencov. Cieľom novovytvorenej prioritnej osi je riešiť výlučne migračné výzvy v dôsledku ruskej vojenskej agresie voči Ukrajine. Financovanie výdavkov špecifického cieľa je orientované na oblasť prvého prijatia a okamžitej pomoci pre ľudí utekajúcich z Ukrajiny (v zmysle </w:t>
      </w:r>
      <w:proofErr w:type="spellStart"/>
      <w:r w:rsidRPr="00AC1D1A">
        <w:rPr>
          <w:sz w:val="22"/>
          <w:szCs w:val="22"/>
        </w:rPr>
        <w:t>eligibility</w:t>
      </w:r>
      <w:proofErr w:type="spellEnd"/>
      <w:r w:rsidRPr="00AC1D1A">
        <w:rPr>
          <w:sz w:val="22"/>
          <w:szCs w:val="22"/>
        </w:rPr>
        <w:t xml:space="preserve"> table - ľudia, ktorí utekajú z Ukrajiny – indikatívny zoznam oprávnených aktivít podľa fondov (AMIF, ISF-</w:t>
      </w:r>
      <w:proofErr w:type="spellStart"/>
      <w:r w:rsidRPr="00AC1D1A">
        <w:rPr>
          <w:sz w:val="22"/>
          <w:szCs w:val="22"/>
        </w:rPr>
        <w:t>Borders</w:t>
      </w:r>
      <w:proofErr w:type="spellEnd"/>
      <w:r w:rsidRPr="00AC1D1A">
        <w:rPr>
          <w:sz w:val="22"/>
          <w:szCs w:val="22"/>
        </w:rPr>
        <w:t xml:space="preserve"> a Visa, ESF, FEAD, ERDF 2014-2020), verzia zo dňa 25. marca 2022). V nadväznosti na aktivity boli stanovené príslušné cieľové skupiny a prijímatelia tak, aby mohli byť výdavky na pomoc pre odídencov uhradené čo najskôr. Prioritná os bude preto implementovaná prostredníctvom národného projektu a dopytovo-orientovanej výzvy pre mestá a obce na pokrytie výdavkov spojených s utečencami. </w:t>
      </w:r>
    </w:p>
    <w:p w14:paraId="7780B44D" w14:textId="47161D19" w:rsidR="003E6B14" w:rsidRDefault="003E6B14" w:rsidP="00EE43E7">
      <w:pPr>
        <w:spacing w:before="120" w:line="276" w:lineRule="auto"/>
        <w:jc w:val="both"/>
        <w:rPr>
          <w:sz w:val="22"/>
          <w:szCs w:val="22"/>
        </w:rPr>
      </w:pPr>
      <w:r w:rsidRPr="00AC1D1A">
        <w:rPr>
          <w:sz w:val="22"/>
          <w:szCs w:val="22"/>
        </w:rPr>
        <w:t>Štruktúra a obsah prioritnej osi zodpovedá ustanoveniam nariadenia Európskeho Parlamentu a Rady, ktorým sa mení nariadenie (EÚ) č. 1303/2013 a nariadenie (EÚ) 2021/1060, pokiaľ ide o dodatočnú flexibilitu na riešenie dôsledkov vojenskej agresie Ruskej federácie FAST (Flexibilná pomoc územiam) – CARE.</w:t>
      </w:r>
    </w:p>
    <w:p w14:paraId="366712B6" w14:textId="1C52C1DE" w:rsidR="0007767F" w:rsidRDefault="0007767F" w:rsidP="00EE43E7">
      <w:pPr>
        <w:spacing w:before="120" w:line="276" w:lineRule="auto"/>
        <w:jc w:val="both"/>
        <w:rPr>
          <w:sz w:val="22"/>
          <w:szCs w:val="22"/>
        </w:rPr>
      </w:pPr>
      <w:r w:rsidRPr="0007767F">
        <w:rPr>
          <w:sz w:val="22"/>
          <w:szCs w:val="22"/>
        </w:rPr>
        <w:t xml:space="preserve">Celková alokácia prioritnej osi sa stanovuje na </w:t>
      </w:r>
      <w:r>
        <w:rPr>
          <w:sz w:val="22"/>
          <w:szCs w:val="22"/>
        </w:rPr>
        <w:t>244</w:t>
      </w:r>
      <w:r w:rsidRPr="0007767F">
        <w:rPr>
          <w:sz w:val="22"/>
          <w:szCs w:val="22"/>
        </w:rPr>
        <w:t xml:space="preserve"> mil. EUR. V súlade s čl. 122 ods. 9 všeobecného nariadenia predstavuje miera spolufinancovania prioritnej osi 100 %. </w:t>
      </w:r>
    </w:p>
    <w:p w14:paraId="2DE4266F" w14:textId="4A88E1CF" w:rsidR="00CF09D4" w:rsidRDefault="00CF09D4" w:rsidP="00EE43E7">
      <w:pPr>
        <w:spacing w:before="120" w:line="276" w:lineRule="auto"/>
        <w:jc w:val="both"/>
        <w:rPr>
          <w:sz w:val="22"/>
          <w:szCs w:val="22"/>
        </w:rPr>
      </w:pPr>
      <w:r w:rsidRPr="00CF09D4">
        <w:rPr>
          <w:sz w:val="22"/>
          <w:szCs w:val="22"/>
        </w:rPr>
        <w:lastRenderedPageBreak/>
        <w:t>Od členských štátov sa nevyžaduje, aby v rámci prioritnej osi venovanej riešeniu migračnej krízy zavádzali nové merateľné ukazovatele. Monitorovanie pomoci bude založené na informovaných odhadoch a bude obmedzené na „Celkový počet podporených osôb“ a „Počet detí vo veku menej ako 18 rokov“.</w:t>
      </w:r>
    </w:p>
    <w:p w14:paraId="004B900E" w14:textId="0EE2874E" w:rsidR="00CF09D4" w:rsidRDefault="00CF09D4" w:rsidP="00EE43E7">
      <w:pPr>
        <w:spacing w:before="120" w:line="276" w:lineRule="auto"/>
        <w:jc w:val="both"/>
        <w:rPr>
          <w:sz w:val="22"/>
          <w:szCs w:val="22"/>
        </w:rPr>
      </w:pPr>
    </w:p>
    <w:p w14:paraId="17C5720D" w14:textId="77777777" w:rsidR="00AC1D1A" w:rsidRPr="00AC1D1A" w:rsidRDefault="00AC1D1A" w:rsidP="00AC1D1A">
      <w:pPr>
        <w:pStyle w:val="Odsekzoznamu"/>
        <w:numPr>
          <w:ilvl w:val="0"/>
          <w:numId w:val="28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b/>
          <w:spacing w:val="2"/>
        </w:rPr>
      </w:pPr>
      <w:r w:rsidRPr="00AC1D1A">
        <w:rPr>
          <w:rFonts w:ascii="Arial" w:hAnsi="Arial" w:cs="Arial"/>
          <w:b/>
          <w:spacing w:val="2"/>
        </w:rPr>
        <w:t xml:space="preserve">Presuny finančných prostriedkov v rámci prioritných osí a úprava finančného plánu IROP  </w:t>
      </w:r>
    </w:p>
    <w:p w14:paraId="0CB50FC1" w14:textId="706F2BE1" w:rsidR="00AC1D1A" w:rsidRPr="00AC1D1A" w:rsidRDefault="00AC1D1A" w:rsidP="00AC1D1A">
      <w:pPr>
        <w:pStyle w:val="Textkomentra"/>
        <w:spacing w:before="120" w:line="276" w:lineRule="auto"/>
        <w:jc w:val="both"/>
        <w:rPr>
          <w:rFonts w:eastAsia="Arial Narrow"/>
          <w:spacing w:val="2"/>
          <w:sz w:val="22"/>
          <w:szCs w:val="22"/>
        </w:rPr>
      </w:pPr>
      <w:r w:rsidRPr="00AC1D1A">
        <w:rPr>
          <w:rFonts w:eastAsia="Arial Narrow"/>
          <w:spacing w:val="2"/>
          <w:sz w:val="22"/>
          <w:szCs w:val="22"/>
        </w:rPr>
        <w:t>RO pre IROP vykonal touto revíziou finančné úpravy vyplývajúce zo vzniku novej prioritnej osi č. 9 FAST CARE a presunu finančných prostriedkov smerujúce na financovanie opatrení na pomoc odídencom z</w:t>
      </w:r>
      <w:r>
        <w:rPr>
          <w:rFonts w:eastAsia="Arial Narrow"/>
          <w:spacing w:val="2"/>
          <w:sz w:val="22"/>
          <w:szCs w:val="22"/>
        </w:rPr>
        <w:t xml:space="preserve"> </w:t>
      </w:r>
      <w:r w:rsidRPr="00AC1D1A">
        <w:rPr>
          <w:rFonts w:eastAsia="Arial Narrow"/>
          <w:spacing w:val="2"/>
          <w:sz w:val="22"/>
          <w:szCs w:val="22"/>
        </w:rPr>
        <w:t xml:space="preserve">Ukrajiny. Finančné prostriedky alokované pre novú prioritnú os boli vyčíslené z rizikových projektov v jednotlivých prioritných osiach. </w:t>
      </w:r>
    </w:p>
    <w:p w14:paraId="6D302DDB" w14:textId="77777777" w:rsidR="00AC1D1A" w:rsidRDefault="00AC1D1A" w:rsidP="00AC1D1A">
      <w:pPr>
        <w:spacing w:line="276" w:lineRule="auto"/>
        <w:jc w:val="both"/>
        <w:rPr>
          <w:rFonts w:eastAsia="Arial Narrow"/>
          <w:spacing w:val="2"/>
          <w:sz w:val="22"/>
          <w:szCs w:val="22"/>
        </w:rPr>
      </w:pPr>
    </w:p>
    <w:p w14:paraId="192A06FA" w14:textId="5C6F6968" w:rsidR="00AC1D1A" w:rsidRDefault="00AC1D1A" w:rsidP="00AC1D1A">
      <w:pPr>
        <w:spacing w:line="276" w:lineRule="auto"/>
        <w:jc w:val="both"/>
        <w:rPr>
          <w:rFonts w:eastAsia="Arial Narrow"/>
          <w:spacing w:val="2"/>
          <w:sz w:val="22"/>
          <w:szCs w:val="22"/>
        </w:rPr>
      </w:pPr>
      <w:r w:rsidRPr="00AC1D1A">
        <w:rPr>
          <w:rFonts w:eastAsia="Arial Narrow"/>
          <w:spacing w:val="2"/>
          <w:sz w:val="22"/>
          <w:szCs w:val="22"/>
        </w:rPr>
        <w:t>Zároveň revízia obsahuje podporu investícií do cestnej, sociálnej, vzdelávacej a zdravotníckej infraštruktúre prostredníctvom finančného nástroja SIH v prioritnej osi 1 Bezpečná a ekologická doprava v regiónoch a 2</w:t>
      </w:r>
      <w:r w:rsidRPr="00AC1D1A">
        <w:rPr>
          <w:sz w:val="22"/>
          <w:szCs w:val="22"/>
        </w:rPr>
        <w:t xml:space="preserve"> </w:t>
      </w:r>
      <w:r w:rsidRPr="00AC1D1A">
        <w:rPr>
          <w:rFonts w:eastAsia="Arial Narrow"/>
          <w:spacing w:val="2"/>
          <w:sz w:val="22"/>
          <w:szCs w:val="22"/>
        </w:rPr>
        <w:t>Ľahší prístup k efektívnym a kvalitnejším verejným službám.</w:t>
      </w:r>
    </w:p>
    <w:p w14:paraId="392BA58E" w14:textId="77777777" w:rsidR="00AC1D1A" w:rsidRPr="00AC1D1A" w:rsidRDefault="00AC1D1A" w:rsidP="00AC1D1A">
      <w:pPr>
        <w:spacing w:line="276" w:lineRule="auto"/>
        <w:jc w:val="both"/>
        <w:rPr>
          <w:rFonts w:eastAsia="Arial Narrow"/>
          <w:spacing w:val="2"/>
          <w:sz w:val="22"/>
          <w:szCs w:val="22"/>
        </w:rPr>
      </w:pPr>
    </w:p>
    <w:p w14:paraId="7C5A7092" w14:textId="77777777" w:rsidR="00AC1D1A" w:rsidRPr="00AC1D1A" w:rsidRDefault="00AC1D1A" w:rsidP="00AC1D1A">
      <w:pPr>
        <w:spacing w:line="276" w:lineRule="auto"/>
        <w:jc w:val="both"/>
        <w:rPr>
          <w:rFonts w:eastAsia="Arial Narrow"/>
          <w:sz w:val="22"/>
          <w:szCs w:val="22"/>
        </w:rPr>
      </w:pPr>
      <w:r w:rsidRPr="00AC1D1A">
        <w:rPr>
          <w:rFonts w:eastAsia="Arial Narrow"/>
          <w:sz w:val="22"/>
          <w:szCs w:val="22"/>
        </w:rPr>
        <w:t xml:space="preserve">Na základe komunikácie s relevantnými subjektami (samosprávne kraje a 12 </w:t>
      </w:r>
      <w:r w:rsidRPr="00AC1D1A">
        <w:rPr>
          <w:rFonts w:eastAsia="Arial Narrow"/>
          <w:spacing w:val="2"/>
          <w:sz w:val="22"/>
          <w:szCs w:val="22"/>
        </w:rPr>
        <w:t>najväčších miest Slovenska</w:t>
      </w:r>
      <w:r w:rsidRPr="00AC1D1A">
        <w:rPr>
          <w:rFonts w:eastAsia="Arial Narrow"/>
          <w:sz w:val="22"/>
          <w:szCs w:val="22"/>
        </w:rPr>
        <w:t xml:space="preserve"> boli prijaté zásobníky projektov od 11 subjektov v celkovej výške 136,4 mil. Eur.</w:t>
      </w:r>
    </w:p>
    <w:p w14:paraId="26847359" w14:textId="77777777" w:rsidR="00AC1D1A" w:rsidRDefault="00AC1D1A" w:rsidP="00AC1D1A">
      <w:pPr>
        <w:spacing w:line="276" w:lineRule="auto"/>
        <w:jc w:val="both"/>
        <w:rPr>
          <w:rFonts w:eastAsia="Arial Narrow"/>
          <w:sz w:val="22"/>
          <w:szCs w:val="22"/>
        </w:rPr>
      </w:pPr>
    </w:p>
    <w:p w14:paraId="349D8361" w14:textId="56D3EAA6" w:rsidR="00AC1D1A" w:rsidRDefault="00AC1D1A" w:rsidP="00AC1D1A">
      <w:pPr>
        <w:spacing w:line="276" w:lineRule="auto"/>
        <w:jc w:val="both"/>
        <w:rPr>
          <w:rFonts w:eastAsia="Arial Narrow"/>
          <w:sz w:val="22"/>
          <w:szCs w:val="22"/>
        </w:rPr>
      </w:pPr>
      <w:r w:rsidRPr="00AC1D1A">
        <w:rPr>
          <w:rFonts w:eastAsia="Arial Narrow"/>
          <w:sz w:val="22"/>
          <w:szCs w:val="22"/>
        </w:rPr>
        <w:t>Poskytnuté financovanie projektov bude odzrkadľovať reálne úverové kapacity jednotlivých samospráv, pripravenosť a </w:t>
      </w:r>
      <w:proofErr w:type="spellStart"/>
      <w:r w:rsidRPr="00AC1D1A">
        <w:rPr>
          <w:rFonts w:eastAsia="Arial Narrow"/>
          <w:sz w:val="22"/>
          <w:szCs w:val="22"/>
        </w:rPr>
        <w:t>prioritizácia</w:t>
      </w:r>
      <w:proofErr w:type="spellEnd"/>
      <w:r w:rsidRPr="00AC1D1A">
        <w:rPr>
          <w:rFonts w:eastAsia="Arial Narrow"/>
          <w:sz w:val="22"/>
          <w:szCs w:val="22"/>
        </w:rPr>
        <w:t xml:space="preserve"> jednotlivých projektov v predmetných oblastiach. Preto finančné prerozdelenie prostriedkov v rámci kódov intervencií dotknutých prioritných osí je indikatívne, nakoľko reálna kapacita umiestnenia finančných prostriedkov v prospech samospráv v rámci jednotlivých špecifických cieľov  IROP môže byť odlišná. </w:t>
      </w:r>
    </w:p>
    <w:p w14:paraId="1ADDB806" w14:textId="77777777" w:rsidR="00EE43E7" w:rsidRPr="00AC1D1A" w:rsidRDefault="00EE43E7" w:rsidP="00AC1D1A">
      <w:pPr>
        <w:spacing w:line="276" w:lineRule="auto"/>
        <w:jc w:val="both"/>
        <w:rPr>
          <w:rFonts w:eastAsia="Arial Narrow"/>
          <w:sz w:val="22"/>
          <w:szCs w:val="22"/>
        </w:rPr>
      </w:pPr>
    </w:p>
    <w:p w14:paraId="19C60146" w14:textId="1EEF2A3C" w:rsidR="00AC1D1A" w:rsidRDefault="00AC1D1A" w:rsidP="00AC1D1A">
      <w:pPr>
        <w:spacing w:line="276" w:lineRule="auto"/>
        <w:jc w:val="both"/>
        <w:rPr>
          <w:rFonts w:eastAsia="Arial Narrow"/>
          <w:sz w:val="22"/>
          <w:szCs w:val="22"/>
        </w:rPr>
      </w:pPr>
      <w:r w:rsidRPr="00AC1D1A">
        <w:rPr>
          <w:rFonts w:eastAsia="Arial Narrow"/>
          <w:sz w:val="22"/>
          <w:szCs w:val="22"/>
        </w:rPr>
        <w:t xml:space="preserve">Jednoznačne najvyššia priorita bola identifikovaná v oblasti opatrení v rámci cestnej infraštruktúry, kde samosprávne kraje majú jednotlivé projekty vo vysokom štádiu pripravenosti, pričom na ich spustenie potrebujú mať zabezpečené finančné prostriedky. </w:t>
      </w:r>
    </w:p>
    <w:p w14:paraId="5833F2F9" w14:textId="77777777" w:rsidR="00EE43E7" w:rsidRPr="00AC1D1A" w:rsidRDefault="00EE43E7" w:rsidP="00AC1D1A">
      <w:pPr>
        <w:spacing w:line="276" w:lineRule="auto"/>
        <w:jc w:val="both"/>
        <w:rPr>
          <w:rFonts w:eastAsia="Arial Narrow"/>
          <w:sz w:val="22"/>
          <w:szCs w:val="22"/>
        </w:rPr>
      </w:pPr>
    </w:p>
    <w:p w14:paraId="5C2B9685" w14:textId="77777777" w:rsidR="00AC1D1A" w:rsidRPr="00AC1D1A" w:rsidRDefault="00AC1D1A" w:rsidP="00AC1D1A">
      <w:pPr>
        <w:spacing w:line="276" w:lineRule="auto"/>
        <w:jc w:val="both"/>
        <w:rPr>
          <w:rFonts w:eastAsia="Arial Narrow"/>
          <w:sz w:val="22"/>
          <w:szCs w:val="22"/>
        </w:rPr>
      </w:pPr>
      <w:r w:rsidRPr="00AC1D1A">
        <w:rPr>
          <w:rFonts w:eastAsia="Arial Narrow"/>
          <w:sz w:val="22"/>
          <w:szCs w:val="22"/>
        </w:rPr>
        <w:t xml:space="preserve">Podpora prostredníctvom finančných nástrojov bude realizovaná formou dlhodobých nízko úročených úverov, ktoré budú samosprávam poskytnuté v priebehu roka 2023. Za účelom poskytnutia úverov v priebehu roka 2023 SIH bude poskytovať úvery vo väčších objemoch menšiemu počtu subjektov predovšetkým vyšším územným celkom. </w:t>
      </w:r>
    </w:p>
    <w:p w14:paraId="0F3A6015" w14:textId="4AB45B6A" w:rsidR="00AC1D1A" w:rsidRPr="00AC1D1A" w:rsidRDefault="00AC1D1A" w:rsidP="00AC1D1A">
      <w:pPr>
        <w:spacing w:line="276" w:lineRule="auto"/>
        <w:jc w:val="both"/>
        <w:rPr>
          <w:rFonts w:eastAsia="Arial Narrow"/>
          <w:sz w:val="22"/>
          <w:szCs w:val="22"/>
        </w:rPr>
      </w:pPr>
      <w:r w:rsidRPr="00AC1D1A">
        <w:rPr>
          <w:rFonts w:eastAsia="Arial Narrow"/>
          <w:sz w:val="22"/>
          <w:szCs w:val="22"/>
        </w:rPr>
        <w:t xml:space="preserve">Prostredníctvom uvedenej formy pomoci budú financované nové projekty, </w:t>
      </w:r>
      <w:r w:rsidRPr="00AC1D1A">
        <w:rPr>
          <w:rFonts w:eastAsia="Arial Narrow"/>
          <w:spacing w:val="2"/>
          <w:sz w:val="22"/>
          <w:szCs w:val="22"/>
        </w:rPr>
        <w:t>ktorým neboli schválené finančné prostriedky z iných zdrojov</w:t>
      </w:r>
      <w:r w:rsidR="00EE43E7">
        <w:rPr>
          <w:rFonts w:eastAsia="Arial Narrow"/>
          <w:spacing w:val="2"/>
          <w:sz w:val="22"/>
          <w:szCs w:val="22"/>
        </w:rPr>
        <w:t>.</w:t>
      </w:r>
    </w:p>
    <w:p w14:paraId="4D84D175" w14:textId="77777777" w:rsidR="00AC1D1A" w:rsidRDefault="00AC1D1A" w:rsidP="00AC1D1A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7B644872" w14:textId="77777777" w:rsidR="00AC1D1A" w:rsidRDefault="00AC1D1A" w:rsidP="00AC1D1A">
      <w:pPr>
        <w:jc w:val="both"/>
        <w:rPr>
          <w:rFonts w:ascii="Arial Narrow" w:eastAsia="Arial Narrow" w:hAnsi="Arial Narrow" w:cs="Arial Narrow"/>
        </w:rPr>
        <w:sectPr w:rsidR="00AC1D1A" w:rsidSect="00EE43E7">
          <w:footerReference w:type="default" r:id="rId10"/>
          <w:headerReference w:type="first" r:id="rId11"/>
          <w:pgSz w:w="11906" w:h="16838"/>
          <w:pgMar w:top="1559" w:right="1418" w:bottom="1418" w:left="1418" w:header="709" w:footer="709" w:gutter="0"/>
          <w:cols w:space="708"/>
          <w:titlePg/>
          <w:docGrid w:linePitch="360"/>
        </w:sectPr>
      </w:pPr>
    </w:p>
    <w:p w14:paraId="513C408A" w14:textId="77777777" w:rsidR="00AC1D1A" w:rsidRPr="00021A9F" w:rsidRDefault="00AC1D1A" w:rsidP="00AC1D1A">
      <w:pPr>
        <w:pStyle w:val="Textkomentra"/>
        <w:jc w:val="both"/>
        <w:rPr>
          <w:rFonts w:ascii="Arial Narrow" w:hAnsi="Arial Narrow"/>
          <w:b/>
          <w:spacing w:val="2"/>
          <w:sz w:val="16"/>
          <w:szCs w:val="16"/>
        </w:rPr>
      </w:pPr>
    </w:p>
    <w:p w14:paraId="0F84C32E" w14:textId="77777777" w:rsidR="00AC1D1A" w:rsidRPr="00EE43E7" w:rsidRDefault="00AC1D1A" w:rsidP="00AC1D1A">
      <w:pPr>
        <w:pStyle w:val="Textkomentra"/>
        <w:spacing w:before="240" w:after="120" w:line="300" w:lineRule="auto"/>
        <w:ind w:left="-851"/>
        <w:jc w:val="both"/>
        <w:rPr>
          <w:rFonts w:eastAsia="Arial Narrow"/>
          <w:sz w:val="18"/>
          <w:szCs w:val="18"/>
        </w:rPr>
      </w:pPr>
      <w:r w:rsidRPr="00EE43E7">
        <w:rPr>
          <w:b/>
          <w:spacing w:val="2"/>
          <w:sz w:val="18"/>
          <w:szCs w:val="18"/>
        </w:rPr>
        <w:t>Tabuľka č. 1 Presuny finančných prostriedkov v rámci prioritných osí a úprava finančného plánu IROP</w:t>
      </w:r>
    </w:p>
    <w:tbl>
      <w:tblPr>
        <w:tblW w:w="150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4252"/>
        <w:gridCol w:w="992"/>
        <w:gridCol w:w="1418"/>
        <w:gridCol w:w="1276"/>
        <w:gridCol w:w="1276"/>
        <w:gridCol w:w="4536"/>
      </w:tblGrid>
      <w:tr w:rsidR="00AC1D1A" w:rsidRPr="00EE43E7" w14:paraId="204472FD" w14:textId="77777777" w:rsidTr="00EE43E7">
        <w:trPr>
          <w:tblHeader/>
        </w:trPr>
        <w:tc>
          <w:tcPr>
            <w:tcW w:w="1277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73407567" w14:textId="77777777" w:rsidR="00AC1D1A" w:rsidRPr="00EE43E7" w:rsidRDefault="00AC1D1A" w:rsidP="00EE43E7">
            <w:pPr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Prioritná os</w:t>
            </w:r>
          </w:p>
        </w:tc>
        <w:tc>
          <w:tcPr>
            <w:tcW w:w="425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0AE4EB61" w14:textId="77777777" w:rsidR="00AC1D1A" w:rsidRPr="00EE43E7" w:rsidRDefault="00AC1D1A" w:rsidP="00EE43E7">
            <w:pPr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Špecifický cieľ (skrátený názov) /</w:t>
            </w:r>
          </w:p>
          <w:p w14:paraId="0B269E91" w14:textId="77777777" w:rsidR="00AC1D1A" w:rsidRPr="00EE43E7" w:rsidRDefault="00AC1D1A" w:rsidP="00EE43E7">
            <w:pPr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Kategória regiónu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639DC83C" w14:textId="77777777" w:rsidR="00AC1D1A" w:rsidRPr="00EE43E7" w:rsidRDefault="00AC1D1A" w:rsidP="00EE43E7">
            <w:pPr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Kategória regiónu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3717A267" w14:textId="77777777" w:rsidR="00AC1D1A" w:rsidRPr="00EE43E7" w:rsidRDefault="00AC1D1A" w:rsidP="00EE43E7">
            <w:pPr>
              <w:ind w:right="28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Alokácia IROP, verzia 12.1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20BE25E2" w14:textId="77777777" w:rsidR="00AC1D1A" w:rsidRPr="00EE43E7" w:rsidRDefault="00AC1D1A" w:rsidP="00EE43E7">
            <w:pPr>
              <w:ind w:right="28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spacing w:val="-2"/>
                <w:sz w:val="18"/>
                <w:szCs w:val="18"/>
              </w:rPr>
              <w:t>Zmeny v alokáciách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39C0081F" w14:textId="77777777" w:rsidR="00AC1D1A" w:rsidRPr="00EE43E7" w:rsidRDefault="00AC1D1A" w:rsidP="00EE43E7">
            <w:pPr>
              <w:ind w:right="28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spacing w:val="-2"/>
                <w:sz w:val="18"/>
                <w:szCs w:val="18"/>
              </w:rPr>
              <w:t>Alokácia IROP, verzia 13.0</w:t>
            </w:r>
          </w:p>
        </w:tc>
        <w:tc>
          <w:tcPr>
            <w:tcW w:w="4536" w:type="dxa"/>
            <w:vAlign w:val="center"/>
          </w:tcPr>
          <w:p w14:paraId="17046FDF" w14:textId="77777777" w:rsidR="00AC1D1A" w:rsidRPr="00EE43E7" w:rsidRDefault="00AC1D1A" w:rsidP="00EE43E7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spacing w:val="-2"/>
                <w:sz w:val="18"/>
                <w:szCs w:val="18"/>
              </w:rPr>
              <w:t xml:space="preserve">Špecifikácia presunov finančných prostriedkov </w:t>
            </w:r>
          </w:p>
        </w:tc>
      </w:tr>
      <w:tr w:rsidR="00AC1D1A" w:rsidRPr="00EE43E7" w14:paraId="46988A24" w14:textId="77777777" w:rsidTr="00EE43E7">
        <w:tc>
          <w:tcPr>
            <w:tcW w:w="1277" w:type="dxa"/>
            <w:vMerge w:val="restart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7CFC177E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1. Bezpečná a ekologická doprava v regiónoch</w:t>
            </w:r>
          </w:p>
        </w:tc>
        <w:tc>
          <w:tcPr>
            <w:tcW w:w="4252" w:type="dxa"/>
            <w:vMerge w:val="restart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E1E36D4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1.1 Cesty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82A5F2D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2C91F41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239 391 177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764D559D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-83 800 000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0FDA6AA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155 591 177</w:t>
            </w:r>
          </w:p>
        </w:tc>
        <w:tc>
          <w:tcPr>
            <w:tcW w:w="4536" w:type="dxa"/>
            <w:vAlign w:val="center"/>
          </w:tcPr>
          <w:p w14:paraId="4939B9C5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 xml:space="preserve">83 800 000 EUR  do PO9 FAST CARE  </w:t>
            </w:r>
          </w:p>
        </w:tc>
      </w:tr>
      <w:tr w:rsidR="00AC1D1A" w:rsidRPr="00EE43E7" w14:paraId="37A8DF87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4F85D2B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271B2F83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8FA75DA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1B880E0E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5 580 000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4D8FEB1A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253B313E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5 580 000</w:t>
            </w:r>
          </w:p>
        </w:tc>
        <w:tc>
          <w:tcPr>
            <w:tcW w:w="4536" w:type="dxa"/>
            <w:vAlign w:val="center"/>
          </w:tcPr>
          <w:p w14:paraId="6ADCE778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3DD8522E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4941E79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2161FF65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1.2.1 Verejná osobná doprava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78F8DB3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693BD4DB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80 155 906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3761C4AE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-30 880 000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3CC30900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49 275 906</w:t>
            </w:r>
          </w:p>
        </w:tc>
        <w:tc>
          <w:tcPr>
            <w:tcW w:w="4536" w:type="dxa"/>
            <w:vAlign w:val="center"/>
          </w:tcPr>
          <w:p w14:paraId="213D0AE9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30 880 000 EUR</w:t>
            </w:r>
            <w:r w:rsidRPr="00EE43E7">
              <w:rPr>
                <w:spacing w:val="-2"/>
                <w:sz w:val="18"/>
                <w:szCs w:val="18"/>
              </w:rPr>
              <w:t xml:space="preserve">  do PO9 FAST CARE  </w:t>
            </w:r>
          </w:p>
        </w:tc>
      </w:tr>
      <w:tr w:rsidR="00AC1D1A" w:rsidRPr="00EE43E7" w14:paraId="44609532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2ED577C4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E6077DD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5E33512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5877E0EF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9 386 050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09FD1229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-500 000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4CAE607F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8 886 050</w:t>
            </w:r>
          </w:p>
        </w:tc>
        <w:tc>
          <w:tcPr>
            <w:tcW w:w="4536" w:type="dxa"/>
            <w:vAlign w:val="center"/>
          </w:tcPr>
          <w:p w14:paraId="58B8CB6A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 xml:space="preserve">500 000 EUR  do PO4  </w:t>
            </w:r>
          </w:p>
        </w:tc>
      </w:tr>
      <w:tr w:rsidR="00AC1D1A" w:rsidRPr="00EE43E7" w14:paraId="54EE1FA6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8488A63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21F1CF09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 xml:space="preserve">1.2.2 </w:t>
            </w:r>
            <w:proofErr w:type="spellStart"/>
            <w:r w:rsidRPr="00EE43E7">
              <w:rPr>
                <w:color w:val="000000"/>
                <w:spacing w:val="-2"/>
                <w:sz w:val="18"/>
                <w:szCs w:val="18"/>
              </w:rPr>
              <w:t>Cyklodoprava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4A0424B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231C0FAA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89 460 377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0691AD20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-31 144 800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1DAB593A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58 315 577</w:t>
            </w:r>
          </w:p>
        </w:tc>
        <w:tc>
          <w:tcPr>
            <w:tcW w:w="4536" w:type="dxa"/>
            <w:vAlign w:val="center"/>
          </w:tcPr>
          <w:p w14:paraId="518ACD2D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31 144 800</w:t>
            </w:r>
            <w:r w:rsidRPr="00EE43E7">
              <w:rPr>
                <w:spacing w:val="-2"/>
                <w:sz w:val="18"/>
                <w:szCs w:val="18"/>
              </w:rPr>
              <w:t xml:space="preserve"> EUR  do PO9 FAST CARE  </w:t>
            </w:r>
          </w:p>
        </w:tc>
      </w:tr>
      <w:tr w:rsidR="00AC1D1A" w:rsidRPr="00EE43E7" w14:paraId="4C43BC7C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E40F726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2D565076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35988AB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7CDD0519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4 500 000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46198F6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-720 000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5D9E93D1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3 780 000</w:t>
            </w:r>
          </w:p>
        </w:tc>
        <w:tc>
          <w:tcPr>
            <w:tcW w:w="4536" w:type="dxa"/>
            <w:vAlign w:val="center"/>
          </w:tcPr>
          <w:p w14:paraId="2799A460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 xml:space="preserve">720 000 EUR  do PO4  </w:t>
            </w:r>
          </w:p>
        </w:tc>
      </w:tr>
      <w:tr w:rsidR="00AC1D1A" w:rsidRPr="00EE43E7" w14:paraId="26BC624E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DA2B112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000000" w:fill="DCE6F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56FD914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EE7B06D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49682F79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409 007 460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3CF201C2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-145 824 800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2B3A5049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263 182 660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726CE11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2E01EF7B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24141531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000000" w:fill="DCE6F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17DBDE3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FEA7313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204D6FEE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19 466 050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55CBB0A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-1 220 000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02443961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18 246 050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E5A01C1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5CC123F1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B4D0C2A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75D86FDC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992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0B484B81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6F853BA6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428 473 510</w:t>
            </w:r>
          </w:p>
        </w:tc>
        <w:tc>
          <w:tcPr>
            <w:tcW w:w="1276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654E3A7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-147 044 800</w:t>
            </w:r>
          </w:p>
        </w:tc>
        <w:tc>
          <w:tcPr>
            <w:tcW w:w="1276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05254465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281 428 710</w:t>
            </w:r>
          </w:p>
        </w:tc>
        <w:tc>
          <w:tcPr>
            <w:tcW w:w="4536" w:type="dxa"/>
            <w:shd w:val="clear" w:color="auto" w:fill="95B3D7" w:themeFill="accent1" w:themeFillTint="99"/>
            <w:vAlign w:val="center"/>
          </w:tcPr>
          <w:p w14:paraId="01BD786A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737F2097" w14:textId="77777777" w:rsidTr="00EE43E7">
        <w:tc>
          <w:tcPr>
            <w:tcW w:w="1277" w:type="dxa"/>
            <w:vMerge w:val="restart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788CBF8C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2. </w:t>
            </w:r>
          </w:p>
          <w:p w14:paraId="4A9D5D63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Ľahší prístup k efektívnym a kvalitnejším službám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2147ECD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>2.1.1 Komunitné služby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7513E2A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42CA93DF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103 790 913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709797D8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-48 690 644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02A91E67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55 100 269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CFFFC4F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26 000 000 EUR do ŠC214 a 22 690 644 EUR do PO9 </w:t>
            </w:r>
            <w:r w:rsidRPr="00EE43E7">
              <w:rPr>
                <w:spacing w:val="-2"/>
                <w:sz w:val="18"/>
                <w:szCs w:val="18"/>
              </w:rPr>
              <w:t>FAST CARE</w:t>
            </w:r>
          </w:p>
        </w:tc>
      </w:tr>
      <w:tr w:rsidR="00AC1D1A" w:rsidRPr="00EE43E7" w14:paraId="7AF616EB" w14:textId="77777777" w:rsidTr="00EE43E7">
        <w:tc>
          <w:tcPr>
            <w:tcW w:w="1277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F12330B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283D264F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CF35B2C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2EFD82D9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13 730 104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4E918CD5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-4 172 019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40D4A497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9 558 085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8BB0D32" w14:textId="77777777" w:rsidR="00AC1D1A" w:rsidRPr="00EE43E7" w:rsidDel="007F69DD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 xml:space="preserve">2 915 988 EUR do PO4 a 1 256 031 EUR do PO9 FAST CARE  </w:t>
            </w:r>
          </w:p>
        </w:tc>
      </w:tr>
      <w:tr w:rsidR="00AC1D1A" w:rsidRPr="00EE43E7" w14:paraId="693CF83C" w14:textId="77777777" w:rsidTr="00EE43E7">
        <w:tc>
          <w:tcPr>
            <w:tcW w:w="1277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DDA3AD1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80F5119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2.1.2 Centrá integrovanej zdravotnej starostlivosti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0EA6F883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3698778E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53 388 007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122F64BF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3F38A4EA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53 388 007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B1B8151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6F54253E" w14:textId="77777777" w:rsidTr="00EE43E7">
        <w:tc>
          <w:tcPr>
            <w:tcW w:w="1277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30C00B8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E847466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A7259EE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2FF0B004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3F9D57E7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12421994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CDC0262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4D10861F" w14:textId="77777777" w:rsidTr="00EE43E7">
        <w:tc>
          <w:tcPr>
            <w:tcW w:w="1277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0A25ABD8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23E3BBB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2.1.3 Nemocnice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088672F7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28F53524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162 618 791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62045D86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5C84C767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162 618 791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CE29F92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14D331B1" w14:textId="77777777" w:rsidTr="00EE43E7">
        <w:tc>
          <w:tcPr>
            <w:tcW w:w="1277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0DF62443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6D9DF61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F5B5930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4E79752E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2491516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75EBF71D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873FD8E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7BC09F3B" w14:textId="77777777" w:rsidTr="00EE43E7">
        <w:tc>
          <w:tcPr>
            <w:tcW w:w="1277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05260595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1EB0D409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2.1.4 Posilnenie kapacít v zdravotníckom systéme a ochrana verejného zdravia ako reakciu na pandémiu COVID-19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00C32BE0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5A76D23E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82 112 570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1B6C724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+26 000 000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2A683C3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108 112 570</w:t>
            </w:r>
          </w:p>
        </w:tc>
        <w:tc>
          <w:tcPr>
            <w:tcW w:w="4536" w:type="dxa"/>
            <w:vAlign w:val="center"/>
          </w:tcPr>
          <w:p w14:paraId="7BDA2B6B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26 000 000 EUR z ŠC 2.1.1.</w:t>
            </w:r>
          </w:p>
        </w:tc>
      </w:tr>
      <w:tr w:rsidR="00AC1D1A" w:rsidRPr="00EE43E7" w14:paraId="16F2014F" w14:textId="77777777" w:rsidTr="00EE43E7">
        <w:tc>
          <w:tcPr>
            <w:tcW w:w="1277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27A981E9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2CE99BA4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1904ADCF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638C9FC2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35 191 102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24D9D335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-3 427 981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53886A26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31 763 121</w:t>
            </w:r>
          </w:p>
        </w:tc>
        <w:tc>
          <w:tcPr>
            <w:tcW w:w="4536" w:type="dxa"/>
            <w:vAlign w:val="center"/>
          </w:tcPr>
          <w:p w14:paraId="335D221A" w14:textId="77777777" w:rsidR="00AC1D1A" w:rsidRPr="00EE43E7" w:rsidDel="007F69DD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 xml:space="preserve">3 427 981 EUR do PO9 FAST CARE  </w:t>
            </w:r>
          </w:p>
        </w:tc>
      </w:tr>
      <w:tr w:rsidR="00AC1D1A" w:rsidRPr="00EE43E7" w14:paraId="4EE40407" w14:textId="77777777" w:rsidTr="00EE43E7">
        <w:tc>
          <w:tcPr>
            <w:tcW w:w="1277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D290093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0907EF2F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2.2.1 Materské školy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06F8125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20BA1C38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69 069 279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1ED95787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-12 600 000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12FF9EF4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56 469 279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381A000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 xml:space="preserve">12 600 000 EUR do PO9 FAST CARE  </w:t>
            </w:r>
          </w:p>
        </w:tc>
      </w:tr>
      <w:tr w:rsidR="00AC1D1A" w:rsidRPr="00EE43E7" w14:paraId="07610E12" w14:textId="77777777" w:rsidTr="00EE43E7">
        <w:tc>
          <w:tcPr>
            <w:tcW w:w="1277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C7B6D44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61B92AF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2AD71A45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1917829D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15 503 209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35FA87B2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67347627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15 503 209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2A5A2BD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4EB8443F" w14:textId="77777777" w:rsidTr="00EE43E7">
        <w:tc>
          <w:tcPr>
            <w:tcW w:w="1277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165811C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E16EE55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2.2.2  Základné školy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70C20094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5D9D1577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44 439 934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6E4D5F0D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-13 115 000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29447A59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31 324 934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3166F4A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13 115 000</w:t>
            </w:r>
            <w:r w:rsidRPr="00EE43E7">
              <w:rPr>
                <w:spacing w:val="-2"/>
                <w:sz w:val="18"/>
                <w:szCs w:val="18"/>
              </w:rPr>
              <w:t xml:space="preserve"> EUR</w:t>
            </w:r>
            <w:r w:rsidRPr="00EE43E7">
              <w:rPr>
                <w:color w:val="000000"/>
                <w:spacing w:val="-2"/>
                <w:sz w:val="18"/>
                <w:szCs w:val="18"/>
              </w:rPr>
              <w:t xml:space="preserve"> do PO9 FAST CARE  </w:t>
            </w:r>
          </w:p>
        </w:tc>
      </w:tr>
      <w:tr w:rsidR="00AC1D1A" w:rsidRPr="00EE43E7" w14:paraId="05ECBC5C" w14:textId="77777777" w:rsidTr="00EE43E7">
        <w:tc>
          <w:tcPr>
            <w:tcW w:w="1277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0E1F00FA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675335D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94047A1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6208EB50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2 973 293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0B38579F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-300 000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0B863666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2 673 293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6E18D0B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300 000</w:t>
            </w:r>
            <w:r w:rsidRPr="00EE43E7">
              <w:rPr>
                <w:spacing w:val="-2"/>
                <w:sz w:val="18"/>
                <w:szCs w:val="18"/>
              </w:rPr>
              <w:t> EUR</w:t>
            </w:r>
            <w:r w:rsidRPr="00EE43E7">
              <w:rPr>
                <w:color w:val="000000"/>
                <w:spacing w:val="-2"/>
                <w:sz w:val="18"/>
                <w:szCs w:val="18"/>
              </w:rPr>
              <w:t xml:space="preserve"> do PO9 FAST CARE  </w:t>
            </w:r>
          </w:p>
        </w:tc>
      </w:tr>
      <w:tr w:rsidR="00AC1D1A" w:rsidRPr="00EE43E7" w14:paraId="0CC91BAE" w14:textId="77777777" w:rsidTr="00EE43E7">
        <w:tc>
          <w:tcPr>
            <w:tcW w:w="1277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602D555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5BF1BC3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2.2.3 Stredné odborné školy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F98C14F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023CD9C1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124 805 701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737A83B9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-12 600 000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3E1C3C68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112 205 701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C46376C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12 600 000 </w:t>
            </w:r>
            <w:r w:rsidRPr="00EE43E7">
              <w:rPr>
                <w:spacing w:val="-2"/>
                <w:sz w:val="18"/>
                <w:szCs w:val="18"/>
              </w:rPr>
              <w:t>EUR</w:t>
            </w:r>
            <w:r w:rsidRPr="00EE43E7">
              <w:rPr>
                <w:color w:val="000000"/>
                <w:spacing w:val="-2"/>
                <w:sz w:val="18"/>
                <w:szCs w:val="18"/>
              </w:rPr>
              <w:t xml:space="preserve"> do PO9 FAST CARE  </w:t>
            </w:r>
          </w:p>
        </w:tc>
      </w:tr>
      <w:tr w:rsidR="00AC1D1A" w:rsidRPr="00EE43E7" w14:paraId="3AAF375F" w14:textId="77777777" w:rsidTr="00EE43E7">
        <w:tc>
          <w:tcPr>
            <w:tcW w:w="1277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A3795D7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17C1259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FD8D7D7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6CDD4871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10 209 292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00310247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-2 200 000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73310E92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8 009 292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C08DA65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2 200 000</w:t>
            </w:r>
            <w:r w:rsidRPr="00EE43E7">
              <w:rPr>
                <w:spacing w:val="-2"/>
                <w:sz w:val="18"/>
                <w:szCs w:val="18"/>
              </w:rPr>
              <w:t xml:space="preserve"> EUR</w:t>
            </w:r>
            <w:r w:rsidRPr="00EE43E7">
              <w:rPr>
                <w:color w:val="000000"/>
                <w:spacing w:val="-2"/>
                <w:sz w:val="18"/>
                <w:szCs w:val="18"/>
              </w:rPr>
              <w:t xml:space="preserve"> do PO9 FAST CARE  </w:t>
            </w:r>
          </w:p>
        </w:tc>
      </w:tr>
      <w:tr w:rsidR="00AC1D1A" w:rsidRPr="00EE43E7" w14:paraId="549ACE60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EEC19D1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000000" w:fill="DCE6F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72A74CC0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992" w:type="dxa"/>
            <w:shd w:val="clear" w:color="000000" w:fill="DCE6F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7385C43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000000" w:fill="DCE6F1"/>
            <w:tcMar>
              <w:top w:w="17" w:type="dxa"/>
              <w:bottom w:w="17" w:type="dxa"/>
              <w:right w:w="28" w:type="dxa"/>
            </w:tcMar>
            <w:vAlign w:val="center"/>
          </w:tcPr>
          <w:p w14:paraId="68382937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640 225 195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4D9209A2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-61 005 644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76885FD8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579 219 551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68D1D30F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461E98AF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1EC103E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000000" w:fill="DCE6F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837EC6B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992" w:type="dxa"/>
            <w:shd w:val="clear" w:color="000000" w:fill="DCE6F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475B32A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000000" w:fill="DCE6F1"/>
            <w:tcMar>
              <w:top w:w="17" w:type="dxa"/>
              <w:bottom w:w="17" w:type="dxa"/>
              <w:right w:w="28" w:type="dxa"/>
            </w:tcMar>
            <w:vAlign w:val="center"/>
          </w:tcPr>
          <w:p w14:paraId="72673A7B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77 607 000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7D3B73EB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-10 100 000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6CDB0CA8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67 507 000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2A8186D6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24514D8F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ED43C5B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F1C2D2C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992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06FDE115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54B08BEA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717 832 195</w:t>
            </w:r>
          </w:p>
        </w:tc>
        <w:tc>
          <w:tcPr>
            <w:tcW w:w="1276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13F46D12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-71 105 644</w:t>
            </w:r>
          </w:p>
        </w:tc>
        <w:tc>
          <w:tcPr>
            <w:tcW w:w="1276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230915F2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646 726 551</w:t>
            </w:r>
          </w:p>
        </w:tc>
        <w:tc>
          <w:tcPr>
            <w:tcW w:w="4536" w:type="dxa"/>
            <w:shd w:val="clear" w:color="auto" w:fill="95B3D7" w:themeFill="accent1" w:themeFillTint="99"/>
            <w:vAlign w:val="center"/>
          </w:tcPr>
          <w:p w14:paraId="2E9BA68D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14646E04" w14:textId="77777777" w:rsidTr="00EE43E7">
        <w:tc>
          <w:tcPr>
            <w:tcW w:w="1277" w:type="dxa"/>
            <w:vMerge w:val="restart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E1934B9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lastRenderedPageBreak/>
              <w:t>3.</w:t>
            </w:r>
          </w:p>
          <w:p w14:paraId="08088BE1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Mobilizácia kreatívneho potenciálu v regiónoch</w:t>
            </w:r>
          </w:p>
        </w:tc>
        <w:tc>
          <w:tcPr>
            <w:tcW w:w="4252" w:type="dxa"/>
            <w:vMerge w:val="restart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AEAF514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3.1 Kultúrny a kreatívny priemysel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2C8DEE7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5F1C0734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103 369 540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514D341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>-18 000 000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19D3A31B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85 369 540</w:t>
            </w:r>
          </w:p>
        </w:tc>
        <w:tc>
          <w:tcPr>
            <w:tcW w:w="4536" w:type="dxa"/>
            <w:vAlign w:val="center"/>
          </w:tcPr>
          <w:p w14:paraId="6725135B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>18 000 000 EUR do PO9</w:t>
            </w:r>
            <w:r w:rsidRPr="00EE43E7">
              <w:rPr>
                <w:color w:val="000000"/>
                <w:spacing w:val="-2"/>
                <w:sz w:val="18"/>
                <w:szCs w:val="18"/>
              </w:rPr>
              <w:t xml:space="preserve"> FAST CARE  </w:t>
            </w:r>
          </w:p>
        </w:tc>
      </w:tr>
      <w:tr w:rsidR="00AC1D1A" w:rsidRPr="00EE43E7" w14:paraId="636AD6C7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BDD4EC4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2423A1B4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05FF2A78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290CFA4A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8 020 472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71EAA14D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513AFE8F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8 020 472</w:t>
            </w:r>
          </w:p>
        </w:tc>
        <w:tc>
          <w:tcPr>
            <w:tcW w:w="4536" w:type="dxa"/>
            <w:vAlign w:val="center"/>
          </w:tcPr>
          <w:p w14:paraId="5F4489E4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0DF0CEF6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4BE802A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B478600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1EC976D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5C79F9F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103 369 540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4E76D8CF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>-18 000 000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40686EDE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85 369 540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172032F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257738FD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A405F46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293F6B4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16C39B2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6FEE477D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8 020 472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233980D8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7010B0D0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8 020 472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4B5C0D4E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7E51376B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9D1F89B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73B4314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992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778917E6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6166D740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111 390 012</w:t>
            </w:r>
          </w:p>
        </w:tc>
        <w:tc>
          <w:tcPr>
            <w:tcW w:w="1276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415CA677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>-18 000 000</w:t>
            </w:r>
          </w:p>
        </w:tc>
        <w:tc>
          <w:tcPr>
            <w:tcW w:w="1276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1A6AF282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93 390 012</w:t>
            </w:r>
          </w:p>
        </w:tc>
        <w:tc>
          <w:tcPr>
            <w:tcW w:w="4536" w:type="dxa"/>
            <w:shd w:val="clear" w:color="auto" w:fill="95B3D7" w:themeFill="accent1" w:themeFillTint="99"/>
            <w:vAlign w:val="center"/>
          </w:tcPr>
          <w:p w14:paraId="13E61F73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6A3FC5F3" w14:textId="77777777" w:rsidTr="00EE43E7">
        <w:tc>
          <w:tcPr>
            <w:tcW w:w="1277" w:type="dxa"/>
            <w:vMerge w:val="restart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0CC8105D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4. </w:t>
            </w:r>
          </w:p>
          <w:p w14:paraId="72288970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Zlepšenie kvality života v regiónoch s dôrazom na životné prostredie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82D7CBC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4.1 Zvýšenie energetickej efektívnosti bytových domov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2416F344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1F7F4FAC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162 336 091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72203666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+25 311 319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58D3DABE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187 647 410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27B963F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15 000 000</w:t>
            </w:r>
            <w:r w:rsidRPr="00EE43E7">
              <w:rPr>
                <w:spacing w:val="-2"/>
                <w:sz w:val="18"/>
                <w:szCs w:val="18"/>
              </w:rPr>
              <w:t xml:space="preserve"> EUR</w:t>
            </w:r>
            <w:r w:rsidRPr="00EE43E7">
              <w:rPr>
                <w:color w:val="000000"/>
                <w:spacing w:val="-2"/>
                <w:sz w:val="18"/>
                <w:szCs w:val="18"/>
              </w:rPr>
              <w:t xml:space="preserve"> zo ŠC 4.2.1. a 10 311 319 EUR zo ŠC 4.3.1.</w:t>
            </w:r>
          </w:p>
        </w:tc>
      </w:tr>
      <w:tr w:rsidR="00AC1D1A" w:rsidRPr="00EE43E7" w14:paraId="4FA0C52D" w14:textId="77777777" w:rsidTr="00EE43E7">
        <w:tc>
          <w:tcPr>
            <w:tcW w:w="1277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2B99FE07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DB32AF5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D83DFBA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772AE3E5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14 152 772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4375B5D0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+4 135 988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15CCBC84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18 288 760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A68C029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1 220 000</w:t>
            </w:r>
            <w:r w:rsidRPr="00EE43E7">
              <w:rPr>
                <w:spacing w:val="-2"/>
                <w:sz w:val="18"/>
                <w:szCs w:val="18"/>
              </w:rPr>
              <w:t xml:space="preserve"> EUR</w:t>
            </w:r>
            <w:r w:rsidRPr="00EE43E7">
              <w:rPr>
                <w:color w:val="000000"/>
                <w:spacing w:val="-2"/>
                <w:sz w:val="18"/>
                <w:szCs w:val="18"/>
              </w:rPr>
              <w:t xml:space="preserve"> z PO1 a 2 915 988</w:t>
            </w:r>
            <w:r w:rsidRPr="00EE43E7">
              <w:rPr>
                <w:spacing w:val="-2"/>
                <w:sz w:val="18"/>
                <w:szCs w:val="18"/>
              </w:rPr>
              <w:t xml:space="preserve"> EUR</w:t>
            </w:r>
            <w:r w:rsidRPr="00EE43E7">
              <w:rPr>
                <w:color w:val="000000"/>
                <w:spacing w:val="-2"/>
                <w:sz w:val="18"/>
                <w:szCs w:val="18"/>
              </w:rPr>
              <w:t xml:space="preserve"> zo ŠC 2.1.1</w:t>
            </w:r>
          </w:p>
        </w:tc>
      </w:tr>
      <w:tr w:rsidR="00AC1D1A" w:rsidRPr="00EE43E7" w14:paraId="65A28B45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5B938D8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0DC6AD15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4.2.1 Zásobovanie pitnou vodou a kanalizácie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9EAC6B6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5ED603EA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64 509 670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53611301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-15 000 000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4E22F5E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49 509 670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E3FEE37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 xml:space="preserve">15 000 000 EUR do ŠC 4.1. </w:t>
            </w:r>
          </w:p>
        </w:tc>
      </w:tr>
      <w:tr w:rsidR="00AC1D1A" w:rsidRPr="00EE43E7" w14:paraId="009D803E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27C5C75C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97DE079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D1969CF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72FCFA98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6E269599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5945FC80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 xml:space="preserve">- 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CF4A652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4459287F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54D8618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7A1E09B4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4.3.1 Zelená infraštruktúra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D673291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2B0BC3C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55 894 243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7D61D6A5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-10 311 319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2D746ABC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45 582 924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62F6C43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10 311 319 EUR do ŠC 4.1</w:t>
            </w:r>
          </w:p>
        </w:tc>
      </w:tr>
      <w:tr w:rsidR="00AC1D1A" w:rsidRPr="00EE43E7" w14:paraId="6F8474E9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2B736807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056AB0DC" w14:textId="77777777" w:rsidR="00AC1D1A" w:rsidRPr="00EE43E7" w:rsidRDefault="00AC1D1A" w:rsidP="00EE43E7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90F9301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15877837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091B8A36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0091DDE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6F9FDA4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24D8327C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7860F72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7D0B6B8A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A299940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68E8F980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282 740 004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4CB887C1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5E3CD24D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282 740 004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5E5CAFFC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58F5B0CE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5159405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77DC368A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6254B36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6FC332DA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14 152 772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2E82C60A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4 135 988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69F4366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18 288 760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58D75C1D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36C93137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48CBABB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05E4875B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992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2B29655B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6E222FD8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296 892 776</w:t>
            </w:r>
          </w:p>
        </w:tc>
        <w:tc>
          <w:tcPr>
            <w:tcW w:w="1276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30925EDE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4 135 988</w:t>
            </w:r>
          </w:p>
        </w:tc>
        <w:tc>
          <w:tcPr>
            <w:tcW w:w="1276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7A4E259D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301 028 764</w:t>
            </w:r>
          </w:p>
        </w:tc>
        <w:tc>
          <w:tcPr>
            <w:tcW w:w="4536" w:type="dxa"/>
            <w:shd w:val="clear" w:color="auto" w:fill="95B3D7" w:themeFill="accent1" w:themeFillTint="99"/>
            <w:vAlign w:val="center"/>
          </w:tcPr>
          <w:p w14:paraId="2305F65E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57A3EAA7" w14:textId="77777777" w:rsidTr="00EE43E7">
        <w:tc>
          <w:tcPr>
            <w:tcW w:w="1277" w:type="dxa"/>
            <w:vMerge w:val="restart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F71E63E" w14:textId="77777777" w:rsidR="00AC1D1A" w:rsidRPr="00EE43E7" w:rsidRDefault="00AC1D1A" w:rsidP="00EE43E7">
            <w:pPr>
              <w:rPr>
                <w:b/>
                <w:bCs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spacing w:val="-2"/>
                <w:sz w:val="18"/>
                <w:szCs w:val="18"/>
              </w:rPr>
              <w:t xml:space="preserve">5. </w:t>
            </w:r>
          </w:p>
          <w:p w14:paraId="2F9ABB81" w14:textId="77777777" w:rsidR="00AC1D1A" w:rsidRPr="00EE43E7" w:rsidRDefault="00AC1D1A" w:rsidP="00EE43E7">
            <w:pPr>
              <w:rPr>
                <w:b/>
                <w:bCs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spacing w:val="-2"/>
                <w:sz w:val="18"/>
                <w:szCs w:val="18"/>
              </w:rPr>
              <w:t>Miestny rozvoj vedený komunitou</w:t>
            </w:r>
          </w:p>
        </w:tc>
        <w:tc>
          <w:tcPr>
            <w:tcW w:w="4252" w:type="dxa"/>
            <w:vMerge w:val="restart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E181BAD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 xml:space="preserve">5.1.1 Zvýšenie zamestnanosti 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DEAB78E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10909828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53 487 662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1629FAA5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-7 744 355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638143B0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45 743 307</w:t>
            </w:r>
          </w:p>
        </w:tc>
        <w:tc>
          <w:tcPr>
            <w:tcW w:w="4536" w:type="dxa"/>
            <w:vAlign w:val="center"/>
          </w:tcPr>
          <w:p w14:paraId="710E962B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45734F2C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66DEC66" w14:textId="77777777" w:rsidR="00AC1D1A" w:rsidRPr="00EE43E7" w:rsidRDefault="00AC1D1A" w:rsidP="00EE43E7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0212D5D5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27A1F883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0BC792E9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82 585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025BAC8C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11F7174E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82 585</w:t>
            </w:r>
          </w:p>
        </w:tc>
        <w:tc>
          <w:tcPr>
            <w:tcW w:w="4536" w:type="dxa"/>
            <w:vAlign w:val="center"/>
          </w:tcPr>
          <w:p w14:paraId="4F45D7C4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4E5965DA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73B12412" w14:textId="77777777" w:rsidR="00AC1D1A" w:rsidRPr="00EE43E7" w:rsidRDefault="00AC1D1A" w:rsidP="00EE43E7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DC1C59D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 xml:space="preserve">5.1.2 Zlepšenie udržateľných vzťahov 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DC71AA3" w14:textId="77777777" w:rsidR="00AC1D1A" w:rsidRPr="00EE43E7" w:rsidRDefault="00AC1D1A" w:rsidP="00EE43E7">
            <w:pPr>
              <w:jc w:val="center"/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1A55A9C5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29 392 308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635EBA2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-4 255 645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4417CD2C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25 136 663</w:t>
            </w:r>
          </w:p>
        </w:tc>
        <w:tc>
          <w:tcPr>
            <w:tcW w:w="4536" w:type="dxa"/>
            <w:vAlign w:val="center"/>
          </w:tcPr>
          <w:p w14:paraId="6026DF82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37CA6403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6A53E0D" w14:textId="77777777" w:rsidR="00AC1D1A" w:rsidRPr="00EE43E7" w:rsidRDefault="00AC1D1A" w:rsidP="00EE43E7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C4A5B1B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B95E13D" w14:textId="77777777" w:rsidR="00AC1D1A" w:rsidRPr="00EE43E7" w:rsidRDefault="00AC1D1A" w:rsidP="00EE43E7">
            <w:pPr>
              <w:jc w:val="center"/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6FEED778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390 730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38CD0F9B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2DDC6E46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390 730</w:t>
            </w:r>
          </w:p>
        </w:tc>
        <w:tc>
          <w:tcPr>
            <w:tcW w:w="4536" w:type="dxa"/>
            <w:vAlign w:val="center"/>
          </w:tcPr>
          <w:p w14:paraId="7C7F3969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5D68214F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A6B8C19" w14:textId="77777777" w:rsidR="00AC1D1A" w:rsidRPr="00EE43E7" w:rsidRDefault="00AC1D1A" w:rsidP="00EE43E7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AEA8016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140A023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374C37E1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82 879 970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0208926D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-12 000 000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1DE6115A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70 879 970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1E34748E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 xml:space="preserve">12 000 000 EUR do PO9 FAST CARE  </w:t>
            </w:r>
          </w:p>
        </w:tc>
      </w:tr>
      <w:tr w:rsidR="00AC1D1A" w:rsidRPr="00EE43E7" w14:paraId="49C2A97A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7ED2B69A" w14:textId="77777777" w:rsidR="00AC1D1A" w:rsidRPr="00EE43E7" w:rsidRDefault="00AC1D1A" w:rsidP="00EE43E7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74B42927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E9BBD12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77B137C6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473 315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64B597C5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17" w:type="dxa"/>
              <w:bottom w:w="17" w:type="dxa"/>
              <w:right w:w="28" w:type="dxa"/>
            </w:tcMar>
            <w:vAlign w:val="center"/>
          </w:tcPr>
          <w:p w14:paraId="258C4FB0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473 315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12D9D4BA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614EB53C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BEC9937" w14:textId="77777777" w:rsidR="00AC1D1A" w:rsidRPr="00EE43E7" w:rsidRDefault="00AC1D1A" w:rsidP="00EE43E7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EBEC266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992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0734A0B8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09066845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83 353 285</w:t>
            </w:r>
          </w:p>
        </w:tc>
        <w:tc>
          <w:tcPr>
            <w:tcW w:w="1276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55DAE619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-12 000 000</w:t>
            </w:r>
          </w:p>
        </w:tc>
        <w:tc>
          <w:tcPr>
            <w:tcW w:w="1276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49BA2E6A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71 353 285</w:t>
            </w:r>
          </w:p>
        </w:tc>
        <w:tc>
          <w:tcPr>
            <w:tcW w:w="4536" w:type="dxa"/>
            <w:shd w:val="clear" w:color="auto" w:fill="95B3D7" w:themeFill="accent1" w:themeFillTint="99"/>
            <w:vAlign w:val="center"/>
          </w:tcPr>
          <w:p w14:paraId="0693707A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2CB26C86" w14:textId="77777777" w:rsidTr="00EE43E7">
        <w:tc>
          <w:tcPr>
            <w:tcW w:w="1277" w:type="dxa"/>
            <w:vMerge w:val="restart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238BB27D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6. </w:t>
            </w:r>
          </w:p>
          <w:p w14:paraId="414B2A45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Technická pomoc 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7BA17021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 xml:space="preserve">6.1. Podpora efektívnej implementácie 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7B57A4BC" w14:textId="77777777" w:rsidR="00AC1D1A" w:rsidRPr="00EE43E7" w:rsidRDefault="00AC1D1A" w:rsidP="00EE43E7">
            <w:pPr>
              <w:jc w:val="center"/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6C57BF26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54 019 725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7D4D0292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0E689F4A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54 019 725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EB3A449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78676412" w14:textId="77777777" w:rsidTr="00EE43E7">
        <w:tc>
          <w:tcPr>
            <w:tcW w:w="1277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3FA08A6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A2ABC72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48C29B9" w14:textId="77777777" w:rsidR="00AC1D1A" w:rsidRPr="00EE43E7" w:rsidRDefault="00AC1D1A" w:rsidP="00EE43E7">
            <w:pPr>
              <w:jc w:val="center"/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60295C8C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1 930 275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2DD0457F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2A06DC6D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1 930 275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442F96B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10455AAF" w14:textId="77777777" w:rsidTr="00EE43E7">
        <w:tc>
          <w:tcPr>
            <w:tcW w:w="1277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176FD74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CE608CF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 xml:space="preserve">6.2. Publicita, informovanie a podpora prijímateľov 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FECB37B" w14:textId="77777777" w:rsidR="00AC1D1A" w:rsidRPr="00EE43E7" w:rsidRDefault="00AC1D1A" w:rsidP="00EE43E7">
            <w:pPr>
              <w:jc w:val="center"/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16AE5E10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5 841 275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3A5B404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59BD29DF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5 841 275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8FC408E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351D382C" w14:textId="77777777" w:rsidTr="00EE43E7">
        <w:tc>
          <w:tcPr>
            <w:tcW w:w="1277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FB4AFE8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1CD4A4B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BA8187C" w14:textId="77777777" w:rsidR="00AC1D1A" w:rsidRPr="00EE43E7" w:rsidRDefault="00AC1D1A" w:rsidP="00EE43E7">
            <w:pPr>
              <w:jc w:val="center"/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1ABFFC7B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208 725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5245AD56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7" w:type="dxa"/>
              <w:bottom w:w="17" w:type="dxa"/>
              <w:right w:w="28" w:type="dxa"/>
            </w:tcMar>
            <w:vAlign w:val="center"/>
          </w:tcPr>
          <w:p w14:paraId="56178DFD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208 725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0AF0344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25971BA9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D00BC1D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000000" w:fill="DCE6F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03D6CFD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992" w:type="dxa"/>
            <w:shd w:val="clear" w:color="000000" w:fill="DCE6F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2F8B188D" w14:textId="77777777" w:rsidR="00AC1D1A" w:rsidRPr="00EE43E7" w:rsidRDefault="00AC1D1A" w:rsidP="00EE43E7">
            <w:pPr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000000" w:fill="DCE6F1"/>
            <w:tcMar>
              <w:top w:w="17" w:type="dxa"/>
              <w:bottom w:w="17" w:type="dxa"/>
              <w:right w:w="28" w:type="dxa"/>
            </w:tcMar>
            <w:vAlign w:val="center"/>
          </w:tcPr>
          <w:p w14:paraId="0639AF9E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59 861 000</w:t>
            </w:r>
          </w:p>
        </w:tc>
        <w:tc>
          <w:tcPr>
            <w:tcW w:w="1276" w:type="dxa"/>
            <w:shd w:val="clear" w:color="000000" w:fill="DCE6F1"/>
            <w:tcMar>
              <w:top w:w="17" w:type="dxa"/>
              <w:bottom w:w="17" w:type="dxa"/>
              <w:right w:w="28" w:type="dxa"/>
            </w:tcMar>
            <w:vAlign w:val="center"/>
          </w:tcPr>
          <w:p w14:paraId="6E13046E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000000" w:fill="DCE6F1"/>
            <w:tcMar>
              <w:top w:w="17" w:type="dxa"/>
              <w:bottom w:w="17" w:type="dxa"/>
              <w:right w:w="28" w:type="dxa"/>
            </w:tcMar>
            <w:vAlign w:val="center"/>
          </w:tcPr>
          <w:p w14:paraId="6A9DED77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59 861 000</w:t>
            </w:r>
          </w:p>
        </w:tc>
        <w:tc>
          <w:tcPr>
            <w:tcW w:w="4536" w:type="dxa"/>
            <w:shd w:val="clear" w:color="000000" w:fill="DCE6F1"/>
            <w:vAlign w:val="center"/>
          </w:tcPr>
          <w:p w14:paraId="47ABD1A9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41F5F251" w14:textId="77777777" w:rsidTr="00EE43E7">
        <w:tc>
          <w:tcPr>
            <w:tcW w:w="1277" w:type="dxa"/>
            <w:vMerge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10CDF03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000000" w:fill="DCE6F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5D44DE8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992" w:type="dxa"/>
            <w:shd w:val="clear" w:color="000000" w:fill="DCE6F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CBD92A0" w14:textId="77777777" w:rsidR="00AC1D1A" w:rsidRPr="00EE43E7" w:rsidRDefault="00AC1D1A" w:rsidP="00EE43E7">
            <w:pPr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000000" w:fill="DCE6F1"/>
            <w:tcMar>
              <w:top w:w="17" w:type="dxa"/>
              <w:bottom w:w="17" w:type="dxa"/>
              <w:right w:w="28" w:type="dxa"/>
            </w:tcMar>
            <w:vAlign w:val="center"/>
          </w:tcPr>
          <w:p w14:paraId="1FAED9B2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2 139 000</w:t>
            </w:r>
          </w:p>
        </w:tc>
        <w:tc>
          <w:tcPr>
            <w:tcW w:w="1276" w:type="dxa"/>
            <w:shd w:val="clear" w:color="000000" w:fill="DCE6F1"/>
            <w:tcMar>
              <w:top w:w="17" w:type="dxa"/>
              <w:bottom w:w="17" w:type="dxa"/>
              <w:right w:w="28" w:type="dxa"/>
            </w:tcMar>
            <w:vAlign w:val="center"/>
          </w:tcPr>
          <w:p w14:paraId="11E245C7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000000" w:fill="DCE6F1"/>
            <w:tcMar>
              <w:top w:w="17" w:type="dxa"/>
              <w:bottom w:w="17" w:type="dxa"/>
              <w:right w:w="28" w:type="dxa"/>
            </w:tcMar>
            <w:vAlign w:val="center"/>
          </w:tcPr>
          <w:p w14:paraId="309B9B0A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2 139 000</w:t>
            </w:r>
          </w:p>
        </w:tc>
        <w:tc>
          <w:tcPr>
            <w:tcW w:w="4536" w:type="dxa"/>
            <w:shd w:val="clear" w:color="000000" w:fill="DCE6F1"/>
            <w:vAlign w:val="center"/>
          </w:tcPr>
          <w:p w14:paraId="5C97ADDE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0EF80074" w14:textId="77777777" w:rsidTr="00EE43E7">
        <w:trPr>
          <w:trHeight w:val="431"/>
        </w:trPr>
        <w:tc>
          <w:tcPr>
            <w:tcW w:w="1277" w:type="dxa"/>
            <w:vMerge/>
            <w:tcBorders>
              <w:bottom w:val="single" w:sz="4" w:space="0" w:color="auto"/>
            </w:tcBorders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35DF102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000000" w:fill="B8CCE4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15F39C91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B8CCE4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DCA1B0D" w14:textId="77777777" w:rsidR="00AC1D1A" w:rsidRPr="00EE43E7" w:rsidRDefault="00AC1D1A" w:rsidP="00EE43E7">
            <w:pPr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B8CCE4"/>
            <w:tcMar>
              <w:top w:w="17" w:type="dxa"/>
              <w:bottom w:w="17" w:type="dxa"/>
              <w:right w:w="28" w:type="dxa"/>
            </w:tcMar>
            <w:vAlign w:val="center"/>
          </w:tcPr>
          <w:p w14:paraId="0D7C9A4B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62 000 000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B8CCE4"/>
            <w:tcMar>
              <w:top w:w="17" w:type="dxa"/>
              <w:bottom w:w="17" w:type="dxa"/>
              <w:right w:w="28" w:type="dxa"/>
            </w:tcMar>
            <w:vAlign w:val="center"/>
          </w:tcPr>
          <w:p w14:paraId="0037D730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B8CCE4"/>
            <w:tcMar>
              <w:top w:w="17" w:type="dxa"/>
              <w:bottom w:w="17" w:type="dxa"/>
              <w:right w:w="28" w:type="dxa"/>
            </w:tcMar>
            <w:vAlign w:val="center"/>
          </w:tcPr>
          <w:p w14:paraId="7946F8CB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62 000 000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000000" w:fill="B8CCE4"/>
            <w:vAlign w:val="center"/>
          </w:tcPr>
          <w:p w14:paraId="32C371F8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21866931" w14:textId="77777777" w:rsidTr="00EE43E7">
        <w:tc>
          <w:tcPr>
            <w:tcW w:w="1277" w:type="dxa"/>
            <w:vMerge w:val="restart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5B360EF2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7. </w:t>
            </w:r>
          </w:p>
          <w:p w14:paraId="43E84B95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REACT-EÚ</w:t>
            </w:r>
          </w:p>
        </w:tc>
        <w:tc>
          <w:tcPr>
            <w:tcW w:w="425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41A85BA9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 xml:space="preserve">7.1. </w:t>
            </w:r>
            <w:r w:rsidRPr="00EE43E7">
              <w:rPr>
                <w:iCs/>
                <w:spacing w:val="-2"/>
                <w:sz w:val="18"/>
                <w:szCs w:val="18"/>
              </w:rPr>
              <w:t>Zvýšenie atraktivity a konkurencieschopnosti verejnej osobnej dopravy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72D135A3" w14:textId="77777777" w:rsidR="00AC1D1A" w:rsidRPr="00EE43E7" w:rsidRDefault="00AC1D1A" w:rsidP="00EE43E7">
            <w:pPr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5F03A6D9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8 600 000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2A24BDC2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5E9076AB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8 600 000</w:t>
            </w:r>
          </w:p>
        </w:tc>
        <w:tc>
          <w:tcPr>
            <w:tcW w:w="4536" w:type="dxa"/>
            <w:vAlign w:val="center"/>
          </w:tcPr>
          <w:p w14:paraId="67256AFD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51C0F84A" w14:textId="77777777" w:rsidTr="00EE43E7">
        <w:tc>
          <w:tcPr>
            <w:tcW w:w="1277" w:type="dxa"/>
            <w:vMerge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3C7E4B40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5419B6E8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 xml:space="preserve">7.2. </w:t>
            </w:r>
            <w:r w:rsidRPr="00EE43E7">
              <w:rPr>
                <w:iCs/>
                <w:spacing w:val="-2"/>
                <w:sz w:val="18"/>
                <w:szCs w:val="18"/>
              </w:rPr>
              <w:t>Zvýšenie atraktivity a prepravnej kapacity nemotorovej dopravy (predovšetkým cyklistickej dopravy) na celkovom počte prepravených osôb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798AC841" w14:textId="77777777" w:rsidR="00AC1D1A" w:rsidRPr="00EE43E7" w:rsidRDefault="00AC1D1A" w:rsidP="00EE43E7">
            <w:pPr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5C316DFB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30 234 489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6F552680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30B2E10E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30 234 489</w:t>
            </w:r>
          </w:p>
        </w:tc>
        <w:tc>
          <w:tcPr>
            <w:tcW w:w="4536" w:type="dxa"/>
            <w:vAlign w:val="center"/>
          </w:tcPr>
          <w:p w14:paraId="5970A6EF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39801A5A" w14:textId="77777777" w:rsidTr="00EE43E7">
        <w:tc>
          <w:tcPr>
            <w:tcW w:w="1277" w:type="dxa"/>
            <w:vMerge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73020413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2F633AE6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>7.3. Zlepšenie environmentálnych aspektov v mestách a mestských oblastiach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0CD755E9" w14:textId="77777777" w:rsidR="00AC1D1A" w:rsidRPr="00EE43E7" w:rsidRDefault="00AC1D1A" w:rsidP="00EE43E7">
            <w:pPr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3C0782A4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13 285 195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072BB3DC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329FB01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13 285 195</w:t>
            </w:r>
          </w:p>
        </w:tc>
        <w:tc>
          <w:tcPr>
            <w:tcW w:w="4536" w:type="dxa"/>
            <w:vAlign w:val="center"/>
          </w:tcPr>
          <w:p w14:paraId="3332A8BD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40B4C7C4" w14:textId="77777777" w:rsidTr="00EE43E7">
        <w:tc>
          <w:tcPr>
            <w:tcW w:w="1277" w:type="dxa"/>
            <w:vMerge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027FB150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77C1E988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>7.4. Zvýšenie kapacít základných škôl v Bratislavskom kraji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6528EB56" w14:textId="77777777" w:rsidR="00AC1D1A" w:rsidRPr="00EE43E7" w:rsidRDefault="00AC1D1A" w:rsidP="00EE43E7">
            <w:pPr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6DD9266B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61 264 400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3EA3D174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2DA72F46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61 264 400</w:t>
            </w:r>
          </w:p>
        </w:tc>
        <w:tc>
          <w:tcPr>
            <w:tcW w:w="4536" w:type="dxa"/>
            <w:vAlign w:val="center"/>
          </w:tcPr>
          <w:p w14:paraId="01CD6BFF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124A5BE8" w14:textId="77777777" w:rsidTr="00EE43E7">
        <w:tc>
          <w:tcPr>
            <w:tcW w:w="1277" w:type="dxa"/>
            <w:vMerge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72607189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78F0829C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 xml:space="preserve">7.5. </w:t>
            </w:r>
            <w:r w:rsidRPr="00EE43E7">
              <w:rPr>
                <w:iCs/>
                <w:spacing w:val="-2"/>
                <w:sz w:val="18"/>
                <w:szCs w:val="18"/>
              </w:rPr>
              <w:t>Zvýšenie počtu žiakov stredných odborných škôl na praktickom vyučovaní v Banskobystrickom kraji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3DCFA5F7" w14:textId="77777777" w:rsidR="00AC1D1A" w:rsidRPr="00EE43E7" w:rsidRDefault="00AC1D1A" w:rsidP="00EE43E7">
            <w:pPr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621EC1FB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23 448 300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51049E70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393F09E0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23 448 300</w:t>
            </w:r>
          </w:p>
        </w:tc>
        <w:tc>
          <w:tcPr>
            <w:tcW w:w="4536" w:type="dxa"/>
            <w:vAlign w:val="center"/>
          </w:tcPr>
          <w:p w14:paraId="426AB263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7F5A3151" w14:textId="77777777" w:rsidTr="00EE43E7">
        <w:tc>
          <w:tcPr>
            <w:tcW w:w="1277" w:type="dxa"/>
            <w:vMerge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49B481E3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2CE7BA8E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 xml:space="preserve">7.6. Predprojektová príprava  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50ECB24D" w14:textId="77777777" w:rsidR="00AC1D1A" w:rsidRPr="00EE43E7" w:rsidRDefault="00AC1D1A" w:rsidP="00EE43E7">
            <w:pPr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23811036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29 000 000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2957B219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245831B1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29 000 000</w:t>
            </w:r>
          </w:p>
        </w:tc>
        <w:tc>
          <w:tcPr>
            <w:tcW w:w="4536" w:type="dxa"/>
            <w:vAlign w:val="center"/>
          </w:tcPr>
          <w:p w14:paraId="66770726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3A844A88" w14:textId="77777777" w:rsidTr="00EE43E7">
        <w:tc>
          <w:tcPr>
            <w:tcW w:w="1277" w:type="dxa"/>
            <w:vMerge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4222DB93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4E4E66A6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>7.7. Podpora udržateľnosti a odolnosti kultúrnych inštitúcii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30C4DCC0" w14:textId="77777777" w:rsidR="00AC1D1A" w:rsidRPr="00EE43E7" w:rsidRDefault="00AC1D1A" w:rsidP="00EE43E7">
            <w:pPr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0B55818D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14 850 600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6A57C2DB" w14:textId="77777777" w:rsidR="00AC1D1A" w:rsidRPr="00EE43E7" w:rsidRDefault="00AC1D1A" w:rsidP="00EE43E7">
            <w:pPr>
              <w:ind w:right="28"/>
              <w:jc w:val="right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43DB3415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14 850 600</w:t>
            </w:r>
          </w:p>
        </w:tc>
        <w:tc>
          <w:tcPr>
            <w:tcW w:w="4536" w:type="dxa"/>
            <w:vAlign w:val="center"/>
          </w:tcPr>
          <w:p w14:paraId="4B69F261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50871FB9" w14:textId="77777777" w:rsidTr="00EE43E7">
        <w:tc>
          <w:tcPr>
            <w:tcW w:w="1277" w:type="dxa"/>
            <w:vMerge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002C0E57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352EC54C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 xml:space="preserve">7.8. </w:t>
            </w:r>
            <w:r w:rsidRPr="00EE43E7">
              <w:rPr>
                <w:iCs/>
                <w:spacing w:val="-2"/>
                <w:sz w:val="18"/>
                <w:szCs w:val="18"/>
              </w:rPr>
              <w:t>Zvýšenie energetickej efektívnosti bytových domov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5E53B619" w14:textId="77777777" w:rsidR="00AC1D1A" w:rsidRPr="00EE43E7" w:rsidRDefault="00AC1D1A" w:rsidP="00EE43E7">
            <w:pPr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4C7DBBDE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47 800 000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0E9D04E0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38D0B4F5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47 800 000</w:t>
            </w:r>
          </w:p>
        </w:tc>
        <w:tc>
          <w:tcPr>
            <w:tcW w:w="4536" w:type="dxa"/>
            <w:vAlign w:val="center"/>
          </w:tcPr>
          <w:p w14:paraId="39BADB98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331E38EA" w14:textId="77777777" w:rsidTr="00EE43E7">
        <w:tc>
          <w:tcPr>
            <w:tcW w:w="1277" w:type="dxa"/>
            <w:vMerge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6AD8DD50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B6DDE8" w:themeFill="accent5" w:themeFillTint="66"/>
            <w:tcMar>
              <w:top w:w="17" w:type="dxa"/>
              <w:bottom w:w="17" w:type="dxa"/>
              <w:right w:w="28" w:type="dxa"/>
            </w:tcMar>
            <w:vAlign w:val="center"/>
          </w:tcPr>
          <w:p w14:paraId="1CAF2F7D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992" w:type="dxa"/>
            <w:shd w:val="clear" w:color="auto" w:fill="B6DDE8" w:themeFill="accent5" w:themeFillTint="66"/>
            <w:tcMar>
              <w:top w:w="17" w:type="dxa"/>
              <w:bottom w:w="17" w:type="dxa"/>
              <w:right w:w="28" w:type="dxa"/>
            </w:tcMar>
            <w:vAlign w:val="center"/>
          </w:tcPr>
          <w:p w14:paraId="07BD97C5" w14:textId="77777777" w:rsidR="00AC1D1A" w:rsidRPr="00EE43E7" w:rsidRDefault="00AC1D1A" w:rsidP="00EE43E7">
            <w:pPr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tcMar>
              <w:top w:w="17" w:type="dxa"/>
              <w:bottom w:w="17" w:type="dxa"/>
              <w:right w:w="28" w:type="dxa"/>
            </w:tcMar>
            <w:vAlign w:val="center"/>
          </w:tcPr>
          <w:p w14:paraId="0F740D60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228 482 984</w:t>
            </w:r>
          </w:p>
        </w:tc>
        <w:tc>
          <w:tcPr>
            <w:tcW w:w="1276" w:type="dxa"/>
            <w:shd w:val="clear" w:color="auto" w:fill="B6DDE8" w:themeFill="accent5" w:themeFillTint="66"/>
            <w:tcMar>
              <w:top w:w="17" w:type="dxa"/>
              <w:bottom w:w="17" w:type="dxa"/>
              <w:right w:w="28" w:type="dxa"/>
            </w:tcMar>
            <w:vAlign w:val="center"/>
          </w:tcPr>
          <w:p w14:paraId="7231E72D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B6DDE8" w:themeFill="accent5" w:themeFillTint="66"/>
            <w:tcMar>
              <w:top w:w="17" w:type="dxa"/>
              <w:bottom w:w="17" w:type="dxa"/>
              <w:right w:w="28" w:type="dxa"/>
            </w:tcMar>
            <w:vAlign w:val="center"/>
          </w:tcPr>
          <w:p w14:paraId="7F7E983D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228 482 984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14:paraId="36A355C5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59565608" w14:textId="77777777" w:rsidTr="00EE43E7">
        <w:tc>
          <w:tcPr>
            <w:tcW w:w="1277" w:type="dxa"/>
            <w:vMerge w:val="restart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297A3463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8.</w:t>
            </w:r>
          </w:p>
          <w:p w14:paraId="50388977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Technická pomoc – REACT-EÚ</w:t>
            </w:r>
          </w:p>
        </w:tc>
        <w:tc>
          <w:tcPr>
            <w:tcW w:w="425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23FE695B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 xml:space="preserve">8.1. </w:t>
            </w:r>
            <w:r w:rsidRPr="00EE43E7">
              <w:rPr>
                <w:iCs/>
                <w:spacing w:val="-2"/>
                <w:sz w:val="18"/>
                <w:szCs w:val="18"/>
              </w:rPr>
              <w:t>Podpora vytvorenia regionálnych štruktúr na programové obdobie 2021 - 2027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721C9AB4" w14:textId="77777777" w:rsidR="00AC1D1A" w:rsidRPr="00EE43E7" w:rsidRDefault="00AC1D1A" w:rsidP="00EE43E7">
            <w:pPr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4E67D2A4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5 000 000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0008C31C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6B31C15E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5 000 000</w:t>
            </w:r>
          </w:p>
        </w:tc>
        <w:tc>
          <w:tcPr>
            <w:tcW w:w="4536" w:type="dxa"/>
            <w:vAlign w:val="center"/>
          </w:tcPr>
          <w:p w14:paraId="6ED415D4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11C6163D" w14:textId="77777777" w:rsidTr="00EE43E7">
        <w:tc>
          <w:tcPr>
            <w:tcW w:w="1277" w:type="dxa"/>
            <w:vMerge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602F6006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1483AE55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 xml:space="preserve">8.2. </w:t>
            </w:r>
            <w:r w:rsidRPr="00EE43E7">
              <w:rPr>
                <w:iCs/>
                <w:spacing w:val="-2"/>
                <w:sz w:val="18"/>
                <w:szCs w:val="18"/>
              </w:rPr>
              <w:t>Podpora existujúcich RO/SO pre IROP pri implementácii REACT-EÚ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1AC3B8CA" w14:textId="77777777" w:rsidR="00AC1D1A" w:rsidRPr="00EE43E7" w:rsidRDefault="00AC1D1A" w:rsidP="00EE43E7">
            <w:pPr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6194E2EA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2 300 000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27D21A6E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424CA542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2 300 000</w:t>
            </w:r>
          </w:p>
        </w:tc>
        <w:tc>
          <w:tcPr>
            <w:tcW w:w="4536" w:type="dxa"/>
            <w:vAlign w:val="center"/>
          </w:tcPr>
          <w:p w14:paraId="116CB0C4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15D612E7" w14:textId="77777777" w:rsidTr="00EE43E7">
        <w:tc>
          <w:tcPr>
            <w:tcW w:w="1277" w:type="dxa"/>
            <w:vMerge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774FDD20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B6DDE8" w:themeFill="accent5" w:themeFillTint="66"/>
            <w:tcMar>
              <w:top w:w="17" w:type="dxa"/>
              <w:bottom w:w="17" w:type="dxa"/>
              <w:right w:w="28" w:type="dxa"/>
            </w:tcMar>
            <w:vAlign w:val="center"/>
          </w:tcPr>
          <w:p w14:paraId="4DE312F4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992" w:type="dxa"/>
            <w:shd w:val="clear" w:color="auto" w:fill="B6DDE8" w:themeFill="accent5" w:themeFillTint="66"/>
            <w:tcMar>
              <w:top w:w="17" w:type="dxa"/>
              <w:bottom w:w="17" w:type="dxa"/>
              <w:right w:w="28" w:type="dxa"/>
            </w:tcMar>
            <w:vAlign w:val="center"/>
          </w:tcPr>
          <w:p w14:paraId="1B5AFE13" w14:textId="77777777" w:rsidR="00AC1D1A" w:rsidRPr="00EE43E7" w:rsidRDefault="00AC1D1A" w:rsidP="00EE43E7">
            <w:pPr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tcMar>
              <w:top w:w="17" w:type="dxa"/>
              <w:bottom w:w="17" w:type="dxa"/>
              <w:right w:w="28" w:type="dxa"/>
            </w:tcMar>
            <w:vAlign w:val="center"/>
          </w:tcPr>
          <w:p w14:paraId="0CD1D3CE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7300000</w:t>
            </w:r>
          </w:p>
        </w:tc>
        <w:tc>
          <w:tcPr>
            <w:tcW w:w="1276" w:type="dxa"/>
            <w:shd w:val="clear" w:color="auto" w:fill="B6DDE8" w:themeFill="accent5" w:themeFillTint="66"/>
            <w:tcMar>
              <w:top w:w="17" w:type="dxa"/>
              <w:bottom w:w="17" w:type="dxa"/>
              <w:right w:w="28" w:type="dxa"/>
            </w:tcMar>
            <w:vAlign w:val="center"/>
          </w:tcPr>
          <w:p w14:paraId="68B7427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B6DDE8" w:themeFill="accent5" w:themeFillTint="66"/>
            <w:tcMar>
              <w:top w:w="17" w:type="dxa"/>
              <w:bottom w:w="17" w:type="dxa"/>
              <w:right w:w="28" w:type="dxa"/>
            </w:tcMar>
            <w:vAlign w:val="center"/>
          </w:tcPr>
          <w:p w14:paraId="597D33F5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7 300 000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14:paraId="333F1359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32A1CCBF" w14:textId="77777777" w:rsidTr="00EE43E7">
        <w:tc>
          <w:tcPr>
            <w:tcW w:w="1277" w:type="dxa"/>
            <w:vMerge w:val="restart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509FEC07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9. FAST</w:t>
            </w:r>
          </w:p>
          <w:p w14:paraId="222EA6A8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CARE</w:t>
            </w:r>
          </w:p>
        </w:tc>
        <w:tc>
          <w:tcPr>
            <w:tcW w:w="4252" w:type="dxa"/>
            <w:vMerge w:val="restart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72BC33E6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>9.1 Riešenie migračných výziev v dôsledku vojenskej agresie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391FF996" w14:textId="77777777" w:rsidR="00AC1D1A" w:rsidRPr="00EE43E7" w:rsidRDefault="00AC1D1A" w:rsidP="00EE43E7">
            <w:pPr>
              <w:jc w:val="center"/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1AB6D339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72D2027A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236 830 444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7DB5FB2D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236 830 444</w:t>
            </w:r>
          </w:p>
        </w:tc>
        <w:tc>
          <w:tcPr>
            <w:tcW w:w="4536" w:type="dxa"/>
            <w:vAlign w:val="center"/>
          </w:tcPr>
          <w:p w14:paraId="4971ED1A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145 824 800 EUR z PO1, 22 690 644 EUR zo ŠC 2.1.1,</w:t>
            </w:r>
            <w:r w:rsidRPr="00EE43E7">
              <w:rPr>
                <w:color w:val="000000"/>
                <w:spacing w:val="-2"/>
                <w:sz w:val="18"/>
                <w:szCs w:val="18"/>
              </w:rPr>
              <w:br/>
              <w:t>12 600 000 EUR zo ŠC 2.2.1, 13 115 000 EUR zo ŠC 2.2.2,</w:t>
            </w:r>
            <w:r w:rsidRPr="00EE43E7">
              <w:rPr>
                <w:color w:val="000000"/>
                <w:spacing w:val="-2"/>
                <w:sz w:val="18"/>
                <w:szCs w:val="18"/>
              </w:rPr>
              <w:br/>
              <w:t>12 600 000 EUR zo ŠC 2.2.3 a 12 000 000 EUR z PO5 a 18 000 000 EUR z PO3</w:t>
            </w:r>
          </w:p>
        </w:tc>
      </w:tr>
      <w:tr w:rsidR="00AC1D1A" w:rsidRPr="00EE43E7" w14:paraId="381C75AC" w14:textId="77777777" w:rsidTr="00EE43E7">
        <w:tc>
          <w:tcPr>
            <w:tcW w:w="1277" w:type="dxa"/>
            <w:vMerge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04388E1D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08B09008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78923DCC" w14:textId="77777777" w:rsidR="00AC1D1A" w:rsidRPr="00EE43E7" w:rsidRDefault="00AC1D1A" w:rsidP="00EE43E7">
            <w:pPr>
              <w:jc w:val="center"/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1D59B279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15208D1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7 184 012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1CD0BF76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7 184 012</w:t>
            </w:r>
          </w:p>
        </w:tc>
        <w:tc>
          <w:tcPr>
            <w:tcW w:w="4536" w:type="dxa"/>
            <w:vAlign w:val="center"/>
          </w:tcPr>
          <w:p w14:paraId="0F4DD621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  <w:r w:rsidRPr="00EE43E7">
              <w:rPr>
                <w:spacing w:val="-2"/>
                <w:sz w:val="18"/>
                <w:szCs w:val="18"/>
              </w:rPr>
              <w:t xml:space="preserve">1 256 031 EUR zo ŠC 2.1.1, 300 000 EUR zo ŠC 2.2.2, </w:t>
            </w:r>
            <w:r w:rsidRPr="00EE43E7">
              <w:rPr>
                <w:spacing w:val="-2"/>
                <w:sz w:val="18"/>
                <w:szCs w:val="18"/>
              </w:rPr>
              <w:br/>
              <w:t>2 200 000 EUR zo ŠC 2.2.3 a 3 427 981 EUR zo ŠC 2.1.4</w:t>
            </w:r>
          </w:p>
        </w:tc>
      </w:tr>
      <w:tr w:rsidR="00AC1D1A" w:rsidRPr="00EE43E7" w14:paraId="37A54507" w14:textId="77777777" w:rsidTr="00EE43E7">
        <w:tc>
          <w:tcPr>
            <w:tcW w:w="1277" w:type="dxa"/>
            <w:vMerge/>
            <w:shd w:val="clear" w:color="auto" w:fill="auto"/>
            <w:tcMar>
              <w:top w:w="17" w:type="dxa"/>
              <w:bottom w:w="17" w:type="dxa"/>
              <w:right w:w="28" w:type="dxa"/>
            </w:tcMar>
            <w:vAlign w:val="center"/>
          </w:tcPr>
          <w:p w14:paraId="36DB1E7A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B6DDE8" w:themeFill="accent5" w:themeFillTint="66"/>
            <w:tcMar>
              <w:top w:w="17" w:type="dxa"/>
              <w:bottom w:w="17" w:type="dxa"/>
              <w:right w:w="28" w:type="dxa"/>
            </w:tcMar>
            <w:vAlign w:val="center"/>
          </w:tcPr>
          <w:p w14:paraId="0F2D03BE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992" w:type="dxa"/>
            <w:shd w:val="clear" w:color="auto" w:fill="B6DDE8" w:themeFill="accent5" w:themeFillTint="66"/>
            <w:tcMar>
              <w:top w:w="17" w:type="dxa"/>
              <w:bottom w:w="17" w:type="dxa"/>
              <w:right w:w="28" w:type="dxa"/>
            </w:tcMar>
            <w:vAlign w:val="center"/>
          </w:tcPr>
          <w:p w14:paraId="4CF54632" w14:textId="77777777" w:rsidR="00AC1D1A" w:rsidRPr="00EE43E7" w:rsidRDefault="00AC1D1A" w:rsidP="00EE43E7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tcMar>
              <w:top w:w="17" w:type="dxa"/>
              <w:bottom w:w="17" w:type="dxa"/>
              <w:right w:w="28" w:type="dxa"/>
            </w:tcMar>
            <w:vAlign w:val="center"/>
          </w:tcPr>
          <w:p w14:paraId="7892D283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B6DDE8" w:themeFill="accent5" w:themeFillTint="66"/>
            <w:tcMar>
              <w:top w:w="17" w:type="dxa"/>
              <w:bottom w:w="17" w:type="dxa"/>
              <w:right w:w="28" w:type="dxa"/>
            </w:tcMar>
            <w:vAlign w:val="center"/>
          </w:tcPr>
          <w:p w14:paraId="33A2F070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244 014 456</w:t>
            </w:r>
          </w:p>
        </w:tc>
        <w:tc>
          <w:tcPr>
            <w:tcW w:w="1276" w:type="dxa"/>
            <w:shd w:val="clear" w:color="auto" w:fill="B6DDE8" w:themeFill="accent5" w:themeFillTint="66"/>
            <w:tcMar>
              <w:top w:w="17" w:type="dxa"/>
              <w:bottom w:w="17" w:type="dxa"/>
              <w:right w:w="28" w:type="dxa"/>
            </w:tcMar>
            <w:vAlign w:val="center"/>
          </w:tcPr>
          <w:p w14:paraId="0CEED47A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244 014 456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14:paraId="415A135A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4A5F8D76" w14:textId="77777777" w:rsidTr="00EE43E7">
        <w:trPr>
          <w:trHeight w:val="312"/>
        </w:trPr>
        <w:tc>
          <w:tcPr>
            <w:tcW w:w="1277" w:type="dxa"/>
            <w:vMerge w:val="restart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A55F582" w14:textId="77777777" w:rsidR="00AC1D1A" w:rsidRPr="00EE43E7" w:rsidRDefault="00AC1D1A" w:rsidP="00EE43E7">
            <w:pPr>
              <w:rPr>
                <w:b/>
                <w:bCs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spacing w:val="-2"/>
                <w:sz w:val="18"/>
                <w:szCs w:val="18"/>
              </w:rPr>
              <w:t>Spolu</w:t>
            </w:r>
          </w:p>
        </w:tc>
        <w:tc>
          <w:tcPr>
            <w:tcW w:w="4252" w:type="dxa"/>
            <w:shd w:val="clear" w:color="000000" w:fill="C5D9F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2EB85F82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992" w:type="dxa"/>
            <w:shd w:val="clear" w:color="000000" w:fill="C5D9F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7234CB8D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8" w:type="dxa"/>
            <w:shd w:val="clear" w:color="000000" w:fill="C5D9F1"/>
            <w:tcMar>
              <w:top w:w="17" w:type="dxa"/>
              <w:bottom w:w="17" w:type="dxa"/>
              <w:right w:w="28" w:type="dxa"/>
            </w:tcMar>
            <w:vAlign w:val="center"/>
          </w:tcPr>
          <w:p w14:paraId="6E71CB71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1 578 083 169</w:t>
            </w:r>
          </w:p>
        </w:tc>
        <w:tc>
          <w:tcPr>
            <w:tcW w:w="1276" w:type="dxa"/>
            <w:shd w:val="clear" w:color="000000" w:fill="C5D9F1"/>
            <w:tcMar>
              <w:top w:w="17" w:type="dxa"/>
              <w:bottom w:w="17" w:type="dxa"/>
              <w:right w:w="28" w:type="dxa"/>
            </w:tcMar>
            <w:vAlign w:val="center"/>
          </w:tcPr>
          <w:p w14:paraId="1E96AB8F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000000" w:fill="C5D9F1"/>
            <w:tcMar>
              <w:top w:w="17" w:type="dxa"/>
              <w:bottom w:w="17" w:type="dxa"/>
              <w:right w:w="28" w:type="dxa"/>
            </w:tcMar>
            <w:vAlign w:val="center"/>
          </w:tcPr>
          <w:p w14:paraId="15404A05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1 578 083 169</w:t>
            </w:r>
          </w:p>
        </w:tc>
        <w:tc>
          <w:tcPr>
            <w:tcW w:w="4536" w:type="dxa"/>
            <w:shd w:val="clear" w:color="000000" w:fill="C5D9F1"/>
            <w:vAlign w:val="center"/>
          </w:tcPr>
          <w:p w14:paraId="5E6456B7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5689AF54" w14:textId="77777777" w:rsidTr="00EE43E7">
        <w:trPr>
          <w:trHeight w:val="312"/>
        </w:trPr>
        <w:tc>
          <w:tcPr>
            <w:tcW w:w="1277" w:type="dxa"/>
            <w:vMerge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4EC2BFAF" w14:textId="77777777" w:rsidR="00AC1D1A" w:rsidRPr="00EE43E7" w:rsidRDefault="00AC1D1A" w:rsidP="00EE43E7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000000" w:fill="C5D9F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204071EB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992" w:type="dxa"/>
            <w:shd w:val="clear" w:color="000000" w:fill="C5D9F1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35F19F0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8" w:type="dxa"/>
            <w:shd w:val="clear" w:color="000000" w:fill="C5D9F1"/>
            <w:tcMar>
              <w:top w:w="17" w:type="dxa"/>
              <w:bottom w:w="17" w:type="dxa"/>
              <w:right w:w="28" w:type="dxa"/>
            </w:tcMar>
            <w:vAlign w:val="center"/>
          </w:tcPr>
          <w:p w14:paraId="5272F6A9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121 858 609</w:t>
            </w:r>
          </w:p>
        </w:tc>
        <w:tc>
          <w:tcPr>
            <w:tcW w:w="1276" w:type="dxa"/>
            <w:shd w:val="clear" w:color="000000" w:fill="C5D9F1"/>
            <w:tcMar>
              <w:top w:w="17" w:type="dxa"/>
              <w:bottom w:w="17" w:type="dxa"/>
              <w:right w:w="28" w:type="dxa"/>
            </w:tcMar>
            <w:vAlign w:val="center"/>
          </w:tcPr>
          <w:p w14:paraId="1F6D8F82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000000" w:fill="C5D9F1"/>
            <w:tcMar>
              <w:top w:w="17" w:type="dxa"/>
              <w:bottom w:w="17" w:type="dxa"/>
              <w:right w:w="28" w:type="dxa"/>
            </w:tcMar>
            <w:vAlign w:val="center"/>
          </w:tcPr>
          <w:p w14:paraId="49272719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121 858 609</w:t>
            </w:r>
          </w:p>
        </w:tc>
        <w:tc>
          <w:tcPr>
            <w:tcW w:w="4536" w:type="dxa"/>
            <w:shd w:val="clear" w:color="000000" w:fill="C5D9F1"/>
            <w:vAlign w:val="center"/>
          </w:tcPr>
          <w:p w14:paraId="7E13BEBF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030EAF09" w14:textId="77777777" w:rsidTr="00EE43E7">
        <w:trPr>
          <w:trHeight w:val="312"/>
        </w:trPr>
        <w:tc>
          <w:tcPr>
            <w:tcW w:w="1277" w:type="dxa"/>
            <w:vMerge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7B1812C9" w14:textId="77777777" w:rsidR="00AC1D1A" w:rsidRPr="00EE43E7" w:rsidRDefault="00AC1D1A" w:rsidP="00EE43E7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6595B116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 REACT-EÚ</w:t>
            </w:r>
          </w:p>
        </w:tc>
        <w:tc>
          <w:tcPr>
            <w:tcW w:w="992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3AB793CD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8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2FADEE26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235 782 984</w:t>
            </w:r>
          </w:p>
        </w:tc>
        <w:tc>
          <w:tcPr>
            <w:tcW w:w="1276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3E95F701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1A31BAFB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235 782 984</w:t>
            </w:r>
          </w:p>
        </w:tc>
        <w:tc>
          <w:tcPr>
            <w:tcW w:w="4536" w:type="dxa"/>
            <w:shd w:val="clear" w:color="auto" w:fill="95B3D7" w:themeFill="accent1" w:themeFillTint="99"/>
            <w:vAlign w:val="center"/>
          </w:tcPr>
          <w:p w14:paraId="00DEEBF4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  <w:tr w:rsidR="00AC1D1A" w:rsidRPr="00EE43E7" w14:paraId="281054D0" w14:textId="77777777" w:rsidTr="00EE43E7">
        <w:trPr>
          <w:trHeight w:val="312"/>
        </w:trPr>
        <w:tc>
          <w:tcPr>
            <w:tcW w:w="1277" w:type="dxa"/>
            <w:vMerge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655D9302" w14:textId="77777777" w:rsidR="00AC1D1A" w:rsidRPr="00EE43E7" w:rsidRDefault="00AC1D1A" w:rsidP="00EE43E7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51DD958B" w14:textId="77777777" w:rsidR="00AC1D1A" w:rsidRPr="00EE43E7" w:rsidRDefault="00AC1D1A" w:rsidP="00EE43E7">
            <w:pPr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b/>
                <w:bCs/>
                <w:color w:val="000000"/>
                <w:spacing w:val="-2"/>
                <w:sz w:val="18"/>
                <w:szCs w:val="18"/>
              </w:rPr>
              <w:t>Spolu IROP</w:t>
            </w:r>
          </w:p>
        </w:tc>
        <w:tc>
          <w:tcPr>
            <w:tcW w:w="992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  <w:hideMark/>
          </w:tcPr>
          <w:p w14:paraId="3CBED09C" w14:textId="77777777" w:rsidR="00AC1D1A" w:rsidRPr="00EE43E7" w:rsidRDefault="00AC1D1A" w:rsidP="00EE43E7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7F55C5B6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1 935 724 762</w:t>
            </w:r>
          </w:p>
        </w:tc>
        <w:tc>
          <w:tcPr>
            <w:tcW w:w="1276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188EDD8B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95B3D7" w:themeFill="accent1" w:themeFillTint="99"/>
            <w:tcMar>
              <w:top w:w="17" w:type="dxa"/>
              <w:bottom w:w="17" w:type="dxa"/>
              <w:right w:w="28" w:type="dxa"/>
            </w:tcMar>
            <w:vAlign w:val="center"/>
          </w:tcPr>
          <w:p w14:paraId="3BD5CBE1" w14:textId="77777777" w:rsidR="00AC1D1A" w:rsidRPr="00EE43E7" w:rsidRDefault="00AC1D1A" w:rsidP="00EE43E7">
            <w:pPr>
              <w:ind w:right="28"/>
              <w:jc w:val="right"/>
              <w:rPr>
                <w:spacing w:val="-2"/>
                <w:sz w:val="18"/>
                <w:szCs w:val="18"/>
              </w:rPr>
            </w:pPr>
            <w:r w:rsidRPr="00EE43E7">
              <w:rPr>
                <w:color w:val="000000"/>
                <w:spacing w:val="-2"/>
                <w:sz w:val="18"/>
                <w:szCs w:val="18"/>
              </w:rPr>
              <w:t>1 935 724 762</w:t>
            </w:r>
          </w:p>
        </w:tc>
        <w:tc>
          <w:tcPr>
            <w:tcW w:w="4536" w:type="dxa"/>
            <w:shd w:val="clear" w:color="auto" w:fill="95B3D7" w:themeFill="accent1" w:themeFillTint="99"/>
            <w:vAlign w:val="center"/>
          </w:tcPr>
          <w:p w14:paraId="13FB3AED" w14:textId="77777777" w:rsidR="00AC1D1A" w:rsidRPr="00EE43E7" w:rsidRDefault="00AC1D1A" w:rsidP="00EE43E7">
            <w:pPr>
              <w:rPr>
                <w:spacing w:val="-2"/>
                <w:sz w:val="18"/>
                <w:szCs w:val="18"/>
              </w:rPr>
            </w:pPr>
          </w:p>
        </w:tc>
      </w:tr>
    </w:tbl>
    <w:p w14:paraId="15928AAE" w14:textId="77777777" w:rsidR="00AC1D1A" w:rsidRDefault="00AC1D1A" w:rsidP="00AC1D1A">
      <w:pPr>
        <w:jc w:val="both"/>
        <w:rPr>
          <w:rFonts w:ascii="Arial Narrow" w:hAnsi="Arial Narrow"/>
          <w:b/>
        </w:rPr>
        <w:sectPr w:rsidR="00AC1D1A" w:rsidSect="00EE43E7">
          <w:headerReference w:type="default" r:id="rId12"/>
          <w:footerReference w:type="default" r:id="rId13"/>
          <w:headerReference w:type="first" r:id="rId14"/>
          <w:pgSz w:w="16838" w:h="11906" w:orient="landscape"/>
          <w:pgMar w:top="1418" w:right="1559" w:bottom="1135" w:left="1418" w:header="709" w:footer="709" w:gutter="0"/>
          <w:cols w:space="708"/>
          <w:titlePg/>
          <w:docGrid w:linePitch="360"/>
        </w:sectPr>
      </w:pPr>
    </w:p>
    <w:p w14:paraId="31DEE3E4" w14:textId="77777777" w:rsidR="00AC1D1A" w:rsidRPr="00BE67DE" w:rsidRDefault="00AC1D1A" w:rsidP="00AC1D1A">
      <w:pPr>
        <w:jc w:val="both"/>
        <w:rPr>
          <w:rFonts w:ascii="Arial Narrow" w:hAnsi="Arial Narrow"/>
          <w:b/>
        </w:rPr>
      </w:pPr>
    </w:p>
    <w:p w14:paraId="4ED981E3" w14:textId="77777777" w:rsidR="00AC1D1A" w:rsidRPr="00EE43E7" w:rsidRDefault="00AC1D1A" w:rsidP="00AC1D1A">
      <w:pPr>
        <w:pStyle w:val="Odsekzoznamu"/>
        <w:numPr>
          <w:ilvl w:val="0"/>
          <w:numId w:val="28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b/>
        </w:rPr>
      </w:pPr>
      <w:r w:rsidRPr="00EE43E7">
        <w:rPr>
          <w:rFonts w:ascii="Arial" w:hAnsi="Arial" w:cs="Arial"/>
          <w:b/>
        </w:rPr>
        <w:t>Úprava vybraných merateľných ukazovateľov IROP</w:t>
      </w:r>
    </w:p>
    <w:p w14:paraId="0958B610" w14:textId="77777777" w:rsidR="00AC1D1A" w:rsidRPr="00EE43E7" w:rsidRDefault="00AC1D1A" w:rsidP="00AC1D1A">
      <w:pPr>
        <w:pStyle w:val="Odsekzoznamu"/>
        <w:numPr>
          <w:ilvl w:val="0"/>
          <w:numId w:val="29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b/>
        </w:rPr>
      </w:pPr>
      <w:r w:rsidRPr="00EE43E7">
        <w:rPr>
          <w:rFonts w:ascii="Arial" w:hAnsi="Arial" w:cs="Arial"/>
          <w:b/>
        </w:rPr>
        <w:t>Úprava a doplnenie vybraných merateľných ukazovateľov v rámci prioritnej osi 1 IROP</w:t>
      </w:r>
    </w:p>
    <w:p w14:paraId="2B4D3A10" w14:textId="77777777" w:rsidR="00AC1D1A" w:rsidRPr="00EE43E7" w:rsidRDefault="00AC1D1A" w:rsidP="00AC1D1A">
      <w:pPr>
        <w:spacing w:before="120" w:line="276" w:lineRule="auto"/>
        <w:jc w:val="both"/>
        <w:rPr>
          <w:sz w:val="22"/>
          <w:szCs w:val="22"/>
        </w:rPr>
      </w:pPr>
      <w:r w:rsidRPr="00EE43E7">
        <w:rPr>
          <w:sz w:val="22"/>
          <w:szCs w:val="22"/>
        </w:rPr>
        <w:t xml:space="preserve">Z dôvodu zníženia alokácie ŠC 1.2.1 a 1.2.2 pre menej a viac rozvinutý región sa znižuje hodnota merateľných ukazovateľov </w:t>
      </w:r>
      <w:r w:rsidRPr="00EE43E7">
        <w:rPr>
          <w:i/>
          <w:sz w:val="22"/>
          <w:szCs w:val="22"/>
        </w:rPr>
        <w:t>O0243</w:t>
      </w:r>
      <w:r w:rsidRPr="00EE43E7">
        <w:rPr>
          <w:sz w:val="22"/>
          <w:szCs w:val="22"/>
        </w:rPr>
        <w:t xml:space="preserve"> </w:t>
      </w:r>
      <w:r w:rsidRPr="00EE43E7">
        <w:rPr>
          <w:i/>
          <w:sz w:val="22"/>
          <w:szCs w:val="22"/>
        </w:rPr>
        <w:t>Počet prestupných uzlov</w:t>
      </w:r>
      <w:r w:rsidRPr="00EE43E7">
        <w:rPr>
          <w:sz w:val="22"/>
          <w:szCs w:val="22"/>
        </w:rPr>
        <w:t xml:space="preserve"> pre menej rozvinutý región na hodnotu 9 (z hodnoty 19) a </w:t>
      </w:r>
      <w:r w:rsidRPr="00EE43E7">
        <w:rPr>
          <w:i/>
          <w:sz w:val="22"/>
          <w:szCs w:val="22"/>
        </w:rPr>
        <w:t>O0133 Počet vybudovaných a modernizovaných integrovaných zastávok</w:t>
      </w:r>
      <w:r w:rsidRPr="00EE43E7">
        <w:rPr>
          <w:sz w:val="22"/>
          <w:szCs w:val="22"/>
        </w:rPr>
        <w:t xml:space="preserve"> pre menej rozvinutý región aj viac rozvinutý región na hodnotu 98 resp.  108 (z hodnôt 148 resp. 245). </w:t>
      </w:r>
    </w:p>
    <w:p w14:paraId="4CB93EC5" w14:textId="77777777" w:rsidR="00AC1D1A" w:rsidRPr="00EE43E7" w:rsidRDefault="00AC1D1A" w:rsidP="00AC1D1A">
      <w:pPr>
        <w:spacing w:before="120" w:line="276" w:lineRule="auto"/>
        <w:jc w:val="both"/>
        <w:rPr>
          <w:sz w:val="22"/>
          <w:szCs w:val="22"/>
        </w:rPr>
      </w:pPr>
      <w:r w:rsidRPr="00EE43E7">
        <w:rPr>
          <w:sz w:val="22"/>
          <w:szCs w:val="22"/>
        </w:rPr>
        <w:t xml:space="preserve">Ďalej sa znižuje hodnota merateľného ukazovateľa </w:t>
      </w:r>
      <w:r w:rsidRPr="00EE43E7">
        <w:rPr>
          <w:i/>
          <w:sz w:val="22"/>
          <w:szCs w:val="22"/>
        </w:rPr>
        <w:t>O0128 Dĺžka nových úsekov cyklistických komunikácií</w:t>
      </w:r>
      <w:r w:rsidRPr="00EE43E7">
        <w:rPr>
          <w:sz w:val="22"/>
          <w:szCs w:val="22"/>
        </w:rPr>
        <w:t xml:space="preserve"> pre viac rozvinutý región na hodnotu 37 (z hodnoty 45) tabuľka č. 2).</w:t>
      </w:r>
    </w:p>
    <w:p w14:paraId="79A9E5ED" w14:textId="77777777" w:rsidR="00AC1D1A" w:rsidRPr="00EE43E7" w:rsidRDefault="00AC1D1A" w:rsidP="00AC1D1A">
      <w:pPr>
        <w:pStyle w:val="Odsekzoznamu"/>
        <w:numPr>
          <w:ilvl w:val="0"/>
          <w:numId w:val="29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b/>
        </w:rPr>
      </w:pPr>
      <w:r w:rsidRPr="00EE43E7">
        <w:rPr>
          <w:rFonts w:ascii="Arial" w:hAnsi="Arial" w:cs="Arial"/>
          <w:b/>
        </w:rPr>
        <w:t>Úprava a doplnenie vybraných merateľných ukazovateľov v rámci prioritnej osi 2 IROP</w:t>
      </w:r>
    </w:p>
    <w:p w14:paraId="05E6B78D" w14:textId="77777777" w:rsidR="00AC1D1A" w:rsidRPr="00EE43E7" w:rsidRDefault="00AC1D1A" w:rsidP="00AC1D1A">
      <w:pPr>
        <w:spacing w:before="120" w:line="276" w:lineRule="auto"/>
        <w:jc w:val="both"/>
        <w:rPr>
          <w:sz w:val="22"/>
          <w:szCs w:val="22"/>
        </w:rPr>
      </w:pPr>
      <w:r w:rsidRPr="00EE43E7">
        <w:rPr>
          <w:sz w:val="22"/>
          <w:szCs w:val="22"/>
        </w:rPr>
        <w:t xml:space="preserve">Z dôvodu zníženia alokácie ŠC 2.1.1 pre menej a viac rozvinutý región sa znižuje hodnota merateľných ukazovateľov </w:t>
      </w:r>
      <w:r w:rsidRPr="00EE43E7">
        <w:rPr>
          <w:i/>
          <w:sz w:val="22"/>
          <w:szCs w:val="22"/>
        </w:rPr>
        <w:t>O0250 Kapacita podporených zariadení sociálnych služieb</w:t>
      </w:r>
      <w:r w:rsidRPr="00EE43E7">
        <w:rPr>
          <w:sz w:val="22"/>
          <w:szCs w:val="22"/>
        </w:rPr>
        <w:t xml:space="preserve"> na hodnotu 1 800 (z hodnoty 2 412), </w:t>
      </w:r>
      <w:r w:rsidRPr="00EE43E7">
        <w:rPr>
          <w:i/>
          <w:sz w:val="22"/>
          <w:szCs w:val="22"/>
        </w:rPr>
        <w:t>O0140 Počet zariadení starostlivosti o deti do troch rokov veku</w:t>
      </w:r>
      <w:r w:rsidRPr="00EE43E7">
        <w:rPr>
          <w:sz w:val="22"/>
          <w:szCs w:val="22"/>
        </w:rPr>
        <w:t xml:space="preserve"> na hodnotu 27 (z hodnoty 35), </w:t>
      </w:r>
      <w:r w:rsidRPr="00EE43E7">
        <w:rPr>
          <w:i/>
          <w:sz w:val="22"/>
          <w:szCs w:val="22"/>
        </w:rPr>
        <w:t>O0221 Kapacita podporených zariadení starostlivosti o deti do troch rokov veku</w:t>
      </w:r>
      <w:r w:rsidRPr="00EE43E7">
        <w:rPr>
          <w:sz w:val="22"/>
          <w:szCs w:val="22"/>
        </w:rPr>
        <w:t xml:space="preserve"> na hodnotu 478 (z hodnoty 630), </w:t>
      </w:r>
      <w:r w:rsidRPr="00EE43E7">
        <w:rPr>
          <w:i/>
          <w:sz w:val="22"/>
          <w:szCs w:val="22"/>
        </w:rPr>
        <w:t>O0136</w:t>
      </w:r>
      <w:r w:rsidRPr="00EE43E7">
        <w:rPr>
          <w:bCs/>
          <w:sz w:val="22"/>
          <w:szCs w:val="22"/>
        </w:rPr>
        <w:t xml:space="preserve"> </w:t>
      </w:r>
      <w:r w:rsidRPr="00EE43E7">
        <w:rPr>
          <w:i/>
          <w:sz w:val="22"/>
          <w:szCs w:val="22"/>
        </w:rPr>
        <w:t>Počet podporených zariadení výkonu opatrení sociálnoprávnej ochrany detí a sociálnej kurately</w:t>
      </w:r>
      <w:r w:rsidRPr="00EE43E7">
        <w:rPr>
          <w:sz w:val="22"/>
          <w:szCs w:val="22"/>
        </w:rPr>
        <w:t xml:space="preserve"> na hodnotu 1 (z hodnoty 3). </w:t>
      </w:r>
    </w:p>
    <w:p w14:paraId="7F1C58D6" w14:textId="77777777" w:rsidR="00AC1D1A" w:rsidRPr="00EE43E7" w:rsidRDefault="00AC1D1A" w:rsidP="00AC1D1A">
      <w:pPr>
        <w:spacing w:before="120" w:line="276" w:lineRule="auto"/>
        <w:jc w:val="both"/>
        <w:rPr>
          <w:sz w:val="22"/>
          <w:szCs w:val="22"/>
        </w:rPr>
      </w:pPr>
      <w:r w:rsidRPr="00EE43E7">
        <w:rPr>
          <w:sz w:val="22"/>
          <w:szCs w:val="22"/>
        </w:rPr>
        <w:t xml:space="preserve">Ďalej došlo k zníženiu hodnôt </w:t>
      </w:r>
      <w:r w:rsidRPr="00EE43E7">
        <w:rPr>
          <w:i/>
          <w:sz w:val="22"/>
          <w:szCs w:val="22"/>
        </w:rPr>
        <w:t>C0032</w:t>
      </w:r>
      <w:r w:rsidRPr="00EE43E7">
        <w:rPr>
          <w:bCs/>
          <w:sz w:val="22"/>
          <w:szCs w:val="22"/>
        </w:rPr>
        <w:t xml:space="preserve"> </w:t>
      </w:r>
      <w:r w:rsidRPr="00EE43E7">
        <w:rPr>
          <w:bCs/>
          <w:i/>
          <w:sz w:val="22"/>
          <w:szCs w:val="22"/>
        </w:rPr>
        <w:t>Zníženie ročnej spotreby primárnej energie vo verejných budovách</w:t>
      </w:r>
      <w:r w:rsidRPr="00EE43E7">
        <w:rPr>
          <w:bCs/>
          <w:sz w:val="22"/>
          <w:szCs w:val="22"/>
        </w:rPr>
        <w:t xml:space="preserve"> a </w:t>
      </w:r>
      <w:r w:rsidRPr="00EE43E7">
        <w:rPr>
          <w:i/>
          <w:sz w:val="22"/>
          <w:szCs w:val="22"/>
        </w:rPr>
        <w:t>O0224</w:t>
      </w:r>
      <w:r w:rsidRPr="00EE43E7">
        <w:rPr>
          <w:bCs/>
          <w:sz w:val="22"/>
          <w:szCs w:val="22"/>
        </w:rPr>
        <w:t xml:space="preserve"> </w:t>
      </w:r>
      <w:r w:rsidRPr="00EE43E7">
        <w:rPr>
          <w:bCs/>
          <w:i/>
          <w:sz w:val="22"/>
          <w:szCs w:val="22"/>
        </w:rPr>
        <w:t>Podlahová plocha renovovaných verejných budov</w:t>
      </w:r>
      <w:r w:rsidRPr="00EE43E7">
        <w:rPr>
          <w:bCs/>
          <w:sz w:val="22"/>
          <w:szCs w:val="22"/>
        </w:rPr>
        <w:t xml:space="preserve"> investičnej priority 2.1 na hodnoty 11 522 331 resp. 193 949 </w:t>
      </w:r>
      <w:r w:rsidRPr="00EE43E7">
        <w:rPr>
          <w:sz w:val="22"/>
          <w:szCs w:val="22"/>
        </w:rPr>
        <w:t xml:space="preserve">(z hodnôt </w:t>
      </w:r>
      <w:r w:rsidRPr="00EE43E7">
        <w:rPr>
          <w:bCs/>
          <w:sz w:val="22"/>
          <w:szCs w:val="22"/>
        </w:rPr>
        <w:t>16 910 322 a 341 200</w:t>
      </w:r>
      <w:r w:rsidRPr="00EE43E7">
        <w:rPr>
          <w:sz w:val="22"/>
          <w:szCs w:val="22"/>
        </w:rPr>
        <w:t xml:space="preserve">). Zároveň bol MU </w:t>
      </w:r>
      <w:r w:rsidRPr="00EE43E7">
        <w:rPr>
          <w:i/>
          <w:sz w:val="22"/>
          <w:szCs w:val="22"/>
        </w:rPr>
        <w:t>CV63</w:t>
      </w:r>
      <w:r w:rsidRPr="00EE43E7">
        <w:rPr>
          <w:sz w:val="22"/>
          <w:szCs w:val="22"/>
        </w:rPr>
        <w:t xml:space="preserve"> </w:t>
      </w:r>
      <w:r w:rsidRPr="00EE43E7">
        <w:rPr>
          <w:bCs/>
          <w:i/>
          <w:sz w:val="22"/>
          <w:szCs w:val="22"/>
        </w:rPr>
        <w:t>Zakúpené očkovacie dávky</w:t>
      </w:r>
      <w:r w:rsidRPr="00EE43E7">
        <w:rPr>
          <w:bCs/>
          <w:sz w:val="22"/>
          <w:szCs w:val="22"/>
        </w:rPr>
        <w:t xml:space="preserve"> navýšený na hodnotu 3 593 367 </w:t>
      </w:r>
      <w:r w:rsidRPr="00EE43E7">
        <w:rPr>
          <w:sz w:val="22"/>
          <w:szCs w:val="22"/>
        </w:rPr>
        <w:t xml:space="preserve">(z hodnoty </w:t>
      </w:r>
      <w:r w:rsidRPr="00EE43E7">
        <w:rPr>
          <w:bCs/>
          <w:sz w:val="22"/>
          <w:szCs w:val="22"/>
        </w:rPr>
        <w:t>1 830 655</w:t>
      </w:r>
      <w:r w:rsidRPr="00EE43E7">
        <w:rPr>
          <w:sz w:val="22"/>
          <w:szCs w:val="22"/>
        </w:rPr>
        <w:t>) (tabuľka č. 3).</w:t>
      </w:r>
    </w:p>
    <w:p w14:paraId="7D8907EB" w14:textId="77777777" w:rsidR="00AC1D1A" w:rsidRPr="00EE43E7" w:rsidRDefault="00AC1D1A" w:rsidP="00AC1D1A">
      <w:pPr>
        <w:spacing w:before="120" w:line="276" w:lineRule="auto"/>
        <w:jc w:val="both"/>
        <w:rPr>
          <w:sz w:val="22"/>
          <w:szCs w:val="22"/>
        </w:rPr>
      </w:pPr>
      <w:r w:rsidRPr="00EE43E7">
        <w:rPr>
          <w:sz w:val="22"/>
          <w:szCs w:val="22"/>
        </w:rPr>
        <w:t xml:space="preserve">V rámci investičnej priority 2.2 pre viac </w:t>
      </w:r>
      <w:r w:rsidRPr="00EE43E7">
        <w:rPr>
          <w:bCs/>
          <w:sz w:val="22"/>
          <w:szCs w:val="22"/>
        </w:rPr>
        <w:t xml:space="preserve">rozvinutý región </w:t>
      </w:r>
      <w:r w:rsidRPr="00EE43E7">
        <w:rPr>
          <w:sz w:val="22"/>
          <w:szCs w:val="22"/>
        </w:rPr>
        <w:t xml:space="preserve">došlo k zníženiu hodnôt MU </w:t>
      </w:r>
      <w:r w:rsidRPr="00EE43E7">
        <w:rPr>
          <w:i/>
          <w:sz w:val="22"/>
          <w:szCs w:val="22"/>
        </w:rPr>
        <w:t>O0226</w:t>
      </w:r>
      <w:r w:rsidRPr="00EE43E7">
        <w:rPr>
          <w:bCs/>
          <w:sz w:val="22"/>
          <w:szCs w:val="22"/>
        </w:rPr>
        <w:t xml:space="preserve"> </w:t>
      </w:r>
      <w:r w:rsidRPr="00EE43E7">
        <w:rPr>
          <w:bCs/>
          <w:i/>
          <w:sz w:val="22"/>
          <w:szCs w:val="22"/>
        </w:rPr>
        <w:t xml:space="preserve">Počet podporených materských škôl </w:t>
      </w:r>
      <w:r w:rsidRPr="00EE43E7">
        <w:rPr>
          <w:sz w:val="22"/>
          <w:szCs w:val="22"/>
        </w:rPr>
        <w:t xml:space="preserve">na hodnotu 38 (z hodnoty 51), </w:t>
      </w:r>
      <w:r w:rsidRPr="00EE43E7">
        <w:rPr>
          <w:i/>
          <w:sz w:val="22"/>
          <w:szCs w:val="22"/>
        </w:rPr>
        <w:t>O0227</w:t>
      </w:r>
      <w:r w:rsidRPr="00EE43E7">
        <w:rPr>
          <w:bCs/>
          <w:sz w:val="22"/>
          <w:szCs w:val="22"/>
        </w:rPr>
        <w:t xml:space="preserve"> </w:t>
      </w:r>
      <w:r w:rsidRPr="00EE43E7">
        <w:rPr>
          <w:bCs/>
          <w:i/>
          <w:sz w:val="22"/>
          <w:szCs w:val="22"/>
        </w:rPr>
        <w:t xml:space="preserve">Počet podporených základných škôl </w:t>
      </w:r>
      <w:r w:rsidRPr="00EE43E7">
        <w:rPr>
          <w:sz w:val="22"/>
          <w:szCs w:val="22"/>
        </w:rPr>
        <w:t xml:space="preserve">na hodnotu 64 (z hodnoty 186), </w:t>
      </w:r>
      <w:r w:rsidRPr="00EE43E7">
        <w:rPr>
          <w:i/>
          <w:sz w:val="22"/>
          <w:szCs w:val="22"/>
        </w:rPr>
        <w:t>O0147</w:t>
      </w:r>
      <w:r w:rsidRPr="00EE43E7">
        <w:rPr>
          <w:bCs/>
          <w:sz w:val="22"/>
          <w:szCs w:val="22"/>
        </w:rPr>
        <w:t xml:space="preserve"> </w:t>
      </w:r>
      <w:r w:rsidRPr="00EE43E7">
        <w:rPr>
          <w:bCs/>
          <w:i/>
          <w:sz w:val="22"/>
          <w:szCs w:val="22"/>
        </w:rPr>
        <w:t>Počet podporených COVP</w:t>
      </w:r>
      <w:r w:rsidRPr="00EE43E7">
        <w:rPr>
          <w:bCs/>
          <w:sz w:val="22"/>
          <w:szCs w:val="22"/>
        </w:rPr>
        <w:t xml:space="preserve"> </w:t>
      </w:r>
      <w:r w:rsidRPr="00EE43E7">
        <w:rPr>
          <w:sz w:val="22"/>
          <w:szCs w:val="22"/>
        </w:rPr>
        <w:t>na hodnotu 7 (z hodnoty 10),</w:t>
      </w:r>
      <w:r w:rsidRPr="00EE43E7">
        <w:rPr>
          <w:bCs/>
          <w:sz w:val="22"/>
          <w:szCs w:val="22"/>
        </w:rPr>
        <w:t xml:space="preserve"> </w:t>
      </w:r>
      <w:r w:rsidRPr="00EE43E7">
        <w:rPr>
          <w:i/>
          <w:sz w:val="22"/>
          <w:szCs w:val="22"/>
        </w:rPr>
        <w:t>CO35</w:t>
      </w:r>
      <w:r w:rsidRPr="00EE43E7">
        <w:rPr>
          <w:bCs/>
          <w:sz w:val="22"/>
          <w:szCs w:val="22"/>
        </w:rPr>
        <w:t xml:space="preserve"> </w:t>
      </w:r>
      <w:r w:rsidRPr="00EE43E7">
        <w:rPr>
          <w:bCs/>
          <w:i/>
          <w:sz w:val="22"/>
          <w:szCs w:val="22"/>
        </w:rPr>
        <w:t>Kapacita podporenej školskej infraštruktúry</w:t>
      </w:r>
      <w:r w:rsidRPr="00EE43E7">
        <w:rPr>
          <w:bCs/>
          <w:sz w:val="22"/>
          <w:szCs w:val="22"/>
        </w:rPr>
        <w:t xml:space="preserve"> </w:t>
      </w:r>
      <w:r w:rsidRPr="00EE43E7">
        <w:rPr>
          <w:sz w:val="22"/>
          <w:szCs w:val="22"/>
        </w:rPr>
        <w:t xml:space="preserve">na hodnotu </w:t>
      </w:r>
      <w:r w:rsidRPr="00EE43E7">
        <w:rPr>
          <w:bCs/>
          <w:sz w:val="22"/>
          <w:szCs w:val="22"/>
        </w:rPr>
        <w:t>32 119</w:t>
      </w:r>
      <w:r w:rsidRPr="00EE43E7">
        <w:rPr>
          <w:sz w:val="22"/>
          <w:szCs w:val="22"/>
        </w:rPr>
        <w:t xml:space="preserve"> (z hodnoty </w:t>
      </w:r>
      <w:r w:rsidRPr="00EE43E7">
        <w:rPr>
          <w:bCs/>
          <w:sz w:val="22"/>
          <w:szCs w:val="22"/>
        </w:rPr>
        <w:t>34 481</w:t>
      </w:r>
      <w:r w:rsidRPr="00EE43E7">
        <w:rPr>
          <w:sz w:val="22"/>
          <w:szCs w:val="22"/>
        </w:rPr>
        <w:t xml:space="preserve">), </w:t>
      </w:r>
      <w:r w:rsidRPr="00EE43E7">
        <w:rPr>
          <w:i/>
          <w:sz w:val="22"/>
          <w:szCs w:val="22"/>
        </w:rPr>
        <w:t>O0253</w:t>
      </w:r>
      <w:r w:rsidRPr="00EE43E7">
        <w:rPr>
          <w:bCs/>
          <w:sz w:val="22"/>
          <w:szCs w:val="22"/>
        </w:rPr>
        <w:t xml:space="preserve"> </w:t>
      </w:r>
      <w:r w:rsidRPr="00EE43E7">
        <w:rPr>
          <w:bCs/>
          <w:i/>
          <w:sz w:val="22"/>
          <w:szCs w:val="22"/>
        </w:rPr>
        <w:t xml:space="preserve">Počet renovovaných verejných budov </w:t>
      </w:r>
      <w:r w:rsidRPr="00EE43E7">
        <w:rPr>
          <w:sz w:val="22"/>
          <w:szCs w:val="22"/>
        </w:rPr>
        <w:t xml:space="preserve">44 (z hodnoty 57) a </w:t>
      </w:r>
      <w:r w:rsidRPr="00EE43E7">
        <w:rPr>
          <w:bCs/>
          <w:sz w:val="22"/>
          <w:szCs w:val="22"/>
        </w:rPr>
        <w:t xml:space="preserve">C0034 </w:t>
      </w:r>
      <w:r w:rsidRPr="00EE43E7">
        <w:rPr>
          <w:bCs/>
          <w:i/>
          <w:sz w:val="22"/>
          <w:szCs w:val="22"/>
        </w:rPr>
        <w:t xml:space="preserve">Odhadované ročné zníženie emisií skleníkových plynov </w:t>
      </w:r>
      <w:r w:rsidRPr="00EE43E7">
        <w:rPr>
          <w:sz w:val="22"/>
          <w:szCs w:val="22"/>
        </w:rPr>
        <w:t>485 (z hodnoty 1 161)</w:t>
      </w:r>
    </w:p>
    <w:p w14:paraId="0D01BE15" w14:textId="77777777" w:rsidR="00AC1D1A" w:rsidRPr="00EE43E7" w:rsidRDefault="00AC1D1A" w:rsidP="00AC1D1A">
      <w:pPr>
        <w:spacing w:before="120" w:line="276" w:lineRule="auto"/>
        <w:jc w:val="both"/>
        <w:rPr>
          <w:sz w:val="22"/>
          <w:szCs w:val="22"/>
        </w:rPr>
      </w:pPr>
      <w:r w:rsidRPr="00EE43E7">
        <w:rPr>
          <w:sz w:val="22"/>
          <w:szCs w:val="22"/>
        </w:rPr>
        <w:t xml:space="preserve">Pre menej </w:t>
      </w:r>
      <w:r w:rsidRPr="00EE43E7">
        <w:rPr>
          <w:bCs/>
          <w:sz w:val="22"/>
          <w:szCs w:val="22"/>
        </w:rPr>
        <w:t xml:space="preserve">rozvinutý región </w:t>
      </w:r>
      <w:r w:rsidRPr="00EE43E7">
        <w:rPr>
          <w:sz w:val="22"/>
          <w:szCs w:val="22"/>
        </w:rPr>
        <w:t xml:space="preserve">došlo k zníženiu hodnôt MU </w:t>
      </w:r>
      <w:r w:rsidRPr="00EE43E7">
        <w:rPr>
          <w:i/>
          <w:sz w:val="22"/>
          <w:szCs w:val="22"/>
        </w:rPr>
        <w:t>O0229</w:t>
      </w:r>
      <w:r w:rsidRPr="00EE43E7">
        <w:rPr>
          <w:bCs/>
          <w:sz w:val="22"/>
          <w:szCs w:val="22"/>
        </w:rPr>
        <w:t xml:space="preserve"> </w:t>
      </w:r>
      <w:r w:rsidRPr="00EE43E7">
        <w:rPr>
          <w:bCs/>
          <w:i/>
          <w:sz w:val="22"/>
          <w:szCs w:val="22"/>
        </w:rPr>
        <w:t>Počet podporených SOŠ, ŠH, SOP (nie COVP)</w:t>
      </w:r>
      <w:r w:rsidRPr="00EE43E7">
        <w:rPr>
          <w:bCs/>
          <w:sz w:val="22"/>
          <w:szCs w:val="22"/>
        </w:rPr>
        <w:t xml:space="preserve"> </w:t>
      </w:r>
      <w:r w:rsidRPr="00EE43E7">
        <w:rPr>
          <w:sz w:val="22"/>
          <w:szCs w:val="22"/>
        </w:rPr>
        <w:t xml:space="preserve">na hodnotu 156 (z hodnoty 178), </w:t>
      </w:r>
      <w:r w:rsidRPr="00EE43E7">
        <w:rPr>
          <w:i/>
          <w:sz w:val="22"/>
          <w:szCs w:val="22"/>
        </w:rPr>
        <w:t>O0148</w:t>
      </w:r>
      <w:r w:rsidRPr="00EE43E7">
        <w:rPr>
          <w:bCs/>
          <w:i/>
          <w:sz w:val="22"/>
          <w:szCs w:val="22"/>
        </w:rPr>
        <w:t xml:space="preserve"> Počet vytvorených podnikateľských inkubátorov pri COVP</w:t>
      </w:r>
      <w:r w:rsidRPr="00EE43E7">
        <w:rPr>
          <w:sz w:val="22"/>
          <w:szCs w:val="22"/>
        </w:rPr>
        <w:t xml:space="preserve"> na hodnotu 0 (z hodnoty 1),</w:t>
      </w:r>
      <w:r w:rsidRPr="00EE43E7">
        <w:rPr>
          <w:bCs/>
          <w:sz w:val="22"/>
          <w:szCs w:val="22"/>
        </w:rPr>
        <w:t xml:space="preserve"> </w:t>
      </w:r>
      <w:r w:rsidRPr="00EE43E7">
        <w:rPr>
          <w:i/>
          <w:sz w:val="22"/>
          <w:szCs w:val="22"/>
        </w:rPr>
        <w:t>CO35</w:t>
      </w:r>
      <w:r w:rsidRPr="00EE43E7">
        <w:rPr>
          <w:bCs/>
          <w:sz w:val="22"/>
          <w:szCs w:val="22"/>
        </w:rPr>
        <w:t xml:space="preserve"> </w:t>
      </w:r>
      <w:r w:rsidRPr="00EE43E7">
        <w:rPr>
          <w:bCs/>
          <w:i/>
          <w:sz w:val="22"/>
          <w:szCs w:val="22"/>
        </w:rPr>
        <w:t>Kapacita podporenej školskej infraštruktúry</w:t>
      </w:r>
      <w:r w:rsidRPr="00EE43E7">
        <w:rPr>
          <w:bCs/>
          <w:sz w:val="22"/>
          <w:szCs w:val="22"/>
        </w:rPr>
        <w:t xml:space="preserve"> </w:t>
      </w:r>
      <w:r w:rsidRPr="00EE43E7">
        <w:rPr>
          <w:sz w:val="22"/>
          <w:szCs w:val="22"/>
        </w:rPr>
        <w:t xml:space="preserve">na hodnotu </w:t>
      </w:r>
      <w:r w:rsidRPr="00EE43E7">
        <w:rPr>
          <w:bCs/>
          <w:sz w:val="22"/>
          <w:szCs w:val="22"/>
        </w:rPr>
        <w:t xml:space="preserve">257 370 </w:t>
      </w:r>
      <w:r w:rsidRPr="00EE43E7">
        <w:rPr>
          <w:sz w:val="22"/>
          <w:szCs w:val="22"/>
        </w:rPr>
        <w:t xml:space="preserve">(z hodnoty </w:t>
      </w:r>
      <w:r w:rsidRPr="00EE43E7">
        <w:rPr>
          <w:bCs/>
          <w:sz w:val="22"/>
          <w:szCs w:val="22"/>
        </w:rPr>
        <w:t>270 929</w:t>
      </w:r>
      <w:r w:rsidRPr="00EE43E7">
        <w:rPr>
          <w:sz w:val="22"/>
          <w:szCs w:val="22"/>
        </w:rPr>
        <w:t xml:space="preserve">), </w:t>
      </w:r>
      <w:r w:rsidRPr="00EE43E7">
        <w:rPr>
          <w:i/>
          <w:sz w:val="22"/>
          <w:szCs w:val="22"/>
        </w:rPr>
        <w:t>C0034</w:t>
      </w:r>
      <w:r w:rsidRPr="00EE43E7">
        <w:rPr>
          <w:bCs/>
          <w:sz w:val="22"/>
          <w:szCs w:val="22"/>
        </w:rPr>
        <w:t> </w:t>
      </w:r>
      <w:r w:rsidRPr="00EE43E7">
        <w:rPr>
          <w:bCs/>
          <w:i/>
          <w:sz w:val="22"/>
          <w:szCs w:val="22"/>
        </w:rPr>
        <w:t xml:space="preserve">Odhadované ročné zníženie emisií skleníkových plynov </w:t>
      </w:r>
      <w:r w:rsidRPr="00EE43E7">
        <w:rPr>
          <w:sz w:val="22"/>
          <w:szCs w:val="22"/>
        </w:rPr>
        <w:t>4 850 (z hodnoty 6 370) (tabuľka č.4).</w:t>
      </w:r>
    </w:p>
    <w:p w14:paraId="16E5DAE9" w14:textId="77777777" w:rsidR="00AC1D1A" w:rsidRPr="00EE43E7" w:rsidRDefault="00AC1D1A" w:rsidP="00AC1D1A">
      <w:pPr>
        <w:pStyle w:val="Odsekzoznamu"/>
        <w:numPr>
          <w:ilvl w:val="0"/>
          <w:numId w:val="29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b/>
        </w:rPr>
      </w:pPr>
      <w:r w:rsidRPr="00EE43E7">
        <w:rPr>
          <w:rFonts w:ascii="Arial" w:hAnsi="Arial" w:cs="Arial"/>
          <w:b/>
        </w:rPr>
        <w:t>Úprava a doplnenie vybraných merateľných ukazovateľov v rámci prioritnej osi 3 IROP</w:t>
      </w:r>
    </w:p>
    <w:p w14:paraId="0B0BE7BA" w14:textId="77777777" w:rsidR="00AC1D1A" w:rsidRPr="00EE43E7" w:rsidRDefault="00AC1D1A" w:rsidP="00AC1D1A">
      <w:pPr>
        <w:spacing w:before="120" w:line="276" w:lineRule="auto"/>
        <w:jc w:val="both"/>
        <w:rPr>
          <w:sz w:val="22"/>
          <w:szCs w:val="22"/>
        </w:rPr>
      </w:pPr>
      <w:r w:rsidRPr="00EE43E7">
        <w:rPr>
          <w:sz w:val="22"/>
          <w:szCs w:val="22"/>
        </w:rPr>
        <w:t>Z dôvodu zníženia alokácie ŠC 3.1 pre menej rozvinutý región sa znižuje hodnota vybraných výsledkových aj výstupových ukazovateľov. Cieľová hodnota výsledkového ukazovateľa R0189 Celkový počet pracovných miest v kultúrnom a kreatívnom priemysle sa znížila z 34 254 počtu celkových pracovných miest na 31 411 (tabuľka č. 5.).</w:t>
      </w:r>
    </w:p>
    <w:p w14:paraId="62C57E32" w14:textId="77777777" w:rsidR="00AC1D1A" w:rsidRPr="00EE43E7" w:rsidRDefault="00AC1D1A" w:rsidP="00AC1D1A">
      <w:pPr>
        <w:spacing w:before="120" w:line="276" w:lineRule="auto"/>
        <w:jc w:val="both"/>
        <w:rPr>
          <w:sz w:val="22"/>
          <w:szCs w:val="22"/>
        </w:rPr>
      </w:pPr>
      <w:r w:rsidRPr="00EE43E7">
        <w:rPr>
          <w:sz w:val="22"/>
          <w:szCs w:val="22"/>
        </w:rPr>
        <w:t xml:space="preserve">Pre menej rozvinutý región došlo k zníženiu hodnôt MU </w:t>
      </w:r>
      <w:r w:rsidRPr="00EE43E7">
        <w:rPr>
          <w:i/>
          <w:sz w:val="22"/>
          <w:szCs w:val="22"/>
        </w:rPr>
        <w:t xml:space="preserve">O0248 Počet účastníkov inkubačnej a akceleračnej schémy </w:t>
      </w:r>
      <w:r w:rsidRPr="00EE43E7">
        <w:rPr>
          <w:sz w:val="22"/>
          <w:szCs w:val="22"/>
        </w:rPr>
        <w:t>na hodnotu 410 (z hodnoty 447)</w:t>
      </w:r>
      <w:r w:rsidRPr="00EE43E7">
        <w:rPr>
          <w:i/>
          <w:sz w:val="22"/>
          <w:szCs w:val="22"/>
        </w:rPr>
        <w:t xml:space="preserve">, CO08 Nárast zamestnanosti v podporených podnikoch </w:t>
      </w:r>
      <w:r w:rsidRPr="00EE43E7">
        <w:rPr>
          <w:sz w:val="22"/>
          <w:szCs w:val="22"/>
        </w:rPr>
        <w:t xml:space="preserve">na hodnotu 616 (z hodnoty 672), </w:t>
      </w:r>
      <w:r w:rsidRPr="00EE43E7">
        <w:rPr>
          <w:i/>
          <w:sz w:val="22"/>
          <w:szCs w:val="22"/>
        </w:rPr>
        <w:t xml:space="preserve">O0153 Počet aktivít na podporu dopytu </w:t>
      </w:r>
      <w:r w:rsidRPr="00EE43E7">
        <w:rPr>
          <w:sz w:val="22"/>
          <w:szCs w:val="22"/>
        </w:rPr>
        <w:t>na hodnotu 136 (z hodnoty 149)</w:t>
      </w:r>
      <w:r w:rsidRPr="00EE43E7">
        <w:rPr>
          <w:i/>
          <w:sz w:val="22"/>
          <w:szCs w:val="22"/>
        </w:rPr>
        <w:t xml:space="preserve">, CO01 Počet podnikov, ktorým sa poskytuje podpora </w:t>
      </w:r>
      <w:r w:rsidRPr="00EE43E7">
        <w:rPr>
          <w:sz w:val="22"/>
          <w:szCs w:val="22"/>
        </w:rPr>
        <w:t>na hodnotu155 (z hodnoty 169)</w:t>
      </w:r>
      <w:r w:rsidRPr="00EE43E7">
        <w:rPr>
          <w:i/>
          <w:sz w:val="22"/>
          <w:szCs w:val="22"/>
        </w:rPr>
        <w:t xml:space="preserve">, CO02 Počet podnikov, ktoré dostávajú granty </w:t>
      </w:r>
      <w:r w:rsidRPr="00EE43E7">
        <w:rPr>
          <w:sz w:val="22"/>
          <w:szCs w:val="22"/>
        </w:rPr>
        <w:t xml:space="preserve">na hodnotu 154 (z </w:t>
      </w:r>
      <w:r w:rsidRPr="00EE43E7">
        <w:rPr>
          <w:sz w:val="22"/>
          <w:szCs w:val="22"/>
        </w:rPr>
        <w:lastRenderedPageBreak/>
        <w:t>hodnoty 168)</w:t>
      </w:r>
      <w:r w:rsidRPr="00EE43E7">
        <w:rPr>
          <w:i/>
          <w:sz w:val="22"/>
          <w:szCs w:val="22"/>
        </w:rPr>
        <w:t>, CO05 Počet podporených nových podnikov</w:t>
      </w:r>
      <w:r w:rsidRPr="00EE43E7">
        <w:rPr>
          <w:sz w:val="22"/>
          <w:szCs w:val="22"/>
        </w:rPr>
        <w:t xml:space="preserve"> na hodnotu 61 (z hodnoty 67)</w:t>
      </w:r>
      <w:r w:rsidRPr="00EE43E7">
        <w:rPr>
          <w:i/>
          <w:sz w:val="22"/>
          <w:szCs w:val="22"/>
        </w:rPr>
        <w:t>, O0253 Počet renovovaných verejných budov</w:t>
      </w:r>
      <w:r w:rsidRPr="00EE43E7">
        <w:rPr>
          <w:sz w:val="22"/>
          <w:szCs w:val="22"/>
        </w:rPr>
        <w:t xml:space="preserve"> na hodnotu 4 (z hodnoty 5)</w:t>
      </w:r>
      <w:r w:rsidRPr="00EE43E7">
        <w:rPr>
          <w:i/>
          <w:sz w:val="22"/>
          <w:szCs w:val="22"/>
        </w:rPr>
        <w:t>, CO039 Mestský rozvoj: Postavené alebo zrenovované verejné alebo komerčné budovy v mestských oblastiach</w:t>
      </w:r>
      <w:r w:rsidRPr="00EE43E7">
        <w:rPr>
          <w:sz w:val="22"/>
          <w:szCs w:val="22"/>
        </w:rPr>
        <w:t xml:space="preserve"> na hodnotu 6 844 (z hodnoty 7 464). Zároveň sa znížila hodnote výstupového ukazovateľa pre viac rozvinutý región </w:t>
      </w:r>
      <w:r w:rsidRPr="00EE43E7">
        <w:rPr>
          <w:i/>
          <w:sz w:val="22"/>
          <w:szCs w:val="22"/>
        </w:rPr>
        <w:t xml:space="preserve">O0253 Počet renovovaných verejných budov </w:t>
      </w:r>
      <w:r w:rsidRPr="00EE43E7">
        <w:rPr>
          <w:sz w:val="22"/>
          <w:szCs w:val="22"/>
        </w:rPr>
        <w:t>na hodnotu 1 (z hodnoty 2) (tabuľka č. 6).</w:t>
      </w:r>
    </w:p>
    <w:p w14:paraId="4D8723C6" w14:textId="77777777" w:rsidR="00AC1D1A" w:rsidRPr="00EE43E7" w:rsidRDefault="00AC1D1A" w:rsidP="00AC1D1A">
      <w:pPr>
        <w:spacing w:before="120" w:line="276" w:lineRule="auto"/>
        <w:jc w:val="both"/>
        <w:rPr>
          <w:sz w:val="22"/>
          <w:szCs w:val="22"/>
        </w:rPr>
      </w:pPr>
    </w:p>
    <w:p w14:paraId="54743413" w14:textId="77777777" w:rsidR="00AC1D1A" w:rsidRPr="00EE43E7" w:rsidRDefault="00AC1D1A" w:rsidP="00AC1D1A">
      <w:pPr>
        <w:pStyle w:val="Odsekzoznamu"/>
        <w:numPr>
          <w:ilvl w:val="0"/>
          <w:numId w:val="29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b/>
        </w:rPr>
      </w:pPr>
      <w:r w:rsidRPr="00EE43E7">
        <w:rPr>
          <w:rFonts w:ascii="Arial" w:hAnsi="Arial" w:cs="Arial"/>
          <w:b/>
        </w:rPr>
        <w:t>Úprava a doplnenie vybraných merateľných ukazovateľov v rámci prioritnej osi 4 IROP</w:t>
      </w:r>
    </w:p>
    <w:p w14:paraId="08FEB23E" w14:textId="77777777" w:rsidR="00AC1D1A" w:rsidRPr="00EE43E7" w:rsidRDefault="00AC1D1A" w:rsidP="00AC1D1A">
      <w:pPr>
        <w:spacing w:line="276" w:lineRule="auto"/>
        <w:jc w:val="both"/>
        <w:rPr>
          <w:sz w:val="22"/>
          <w:szCs w:val="22"/>
        </w:rPr>
      </w:pPr>
    </w:p>
    <w:p w14:paraId="2E08B93C" w14:textId="77777777" w:rsidR="00AC1D1A" w:rsidRPr="00EE43E7" w:rsidRDefault="00AC1D1A" w:rsidP="00AC1D1A">
      <w:pPr>
        <w:spacing w:line="276" w:lineRule="auto"/>
        <w:jc w:val="both"/>
        <w:rPr>
          <w:bCs/>
          <w:sz w:val="22"/>
          <w:szCs w:val="22"/>
        </w:rPr>
      </w:pPr>
      <w:r w:rsidRPr="00EE43E7">
        <w:rPr>
          <w:sz w:val="22"/>
          <w:szCs w:val="22"/>
        </w:rPr>
        <w:t xml:space="preserve">V rámci investičnej priority 4.1. pre menej rozvinutý región došlo k zvýšeniu hodnôt MU </w:t>
      </w:r>
      <w:r w:rsidRPr="00EE43E7">
        <w:rPr>
          <w:bCs/>
          <w:i/>
          <w:sz w:val="22"/>
          <w:szCs w:val="22"/>
        </w:rPr>
        <w:t>C031 Počet domácností zaradených do zlepšenej energetickej triedy</w:t>
      </w:r>
      <w:r w:rsidRPr="00EE43E7">
        <w:rPr>
          <w:bCs/>
          <w:sz w:val="22"/>
          <w:szCs w:val="22"/>
        </w:rPr>
        <w:t xml:space="preserve"> na hodnotu </w:t>
      </w:r>
      <w:r w:rsidRPr="00EE43E7">
        <w:rPr>
          <w:sz w:val="22"/>
          <w:szCs w:val="22"/>
        </w:rPr>
        <w:t xml:space="preserve">13 767 (z hodnoty 11 748), </w:t>
      </w:r>
      <w:r w:rsidRPr="00EE43E7">
        <w:rPr>
          <w:bCs/>
          <w:i/>
          <w:sz w:val="22"/>
          <w:szCs w:val="22"/>
        </w:rPr>
        <w:t xml:space="preserve">O0259 </w:t>
      </w:r>
      <w:r w:rsidRPr="00EE43E7">
        <w:rPr>
          <w:i/>
          <w:sz w:val="22"/>
          <w:szCs w:val="22"/>
        </w:rPr>
        <w:t>Ročná spotreba primárnej energie v bytových domoch</w:t>
      </w:r>
      <w:r w:rsidRPr="00EE43E7">
        <w:rPr>
          <w:sz w:val="22"/>
          <w:szCs w:val="22"/>
        </w:rPr>
        <w:t xml:space="preserve"> na hodnotu 75 552 926 (z hodnoty 64 470 556), </w:t>
      </w:r>
      <w:r w:rsidRPr="00EE43E7">
        <w:rPr>
          <w:bCs/>
          <w:i/>
          <w:sz w:val="22"/>
          <w:szCs w:val="22"/>
        </w:rPr>
        <w:t>O0255</w:t>
      </w:r>
      <w:r w:rsidRPr="00EE43E7">
        <w:rPr>
          <w:i/>
          <w:sz w:val="22"/>
          <w:szCs w:val="22"/>
        </w:rPr>
        <w:t xml:space="preserve"> Konečná spotreba energie </w:t>
      </w:r>
      <w:r w:rsidRPr="00EE43E7">
        <w:rPr>
          <w:sz w:val="22"/>
          <w:szCs w:val="22"/>
        </w:rPr>
        <w:t xml:space="preserve">na hodnotu 64 219 987 (z hodnoty 54 799 973), </w:t>
      </w:r>
      <w:r w:rsidRPr="00EE43E7">
        <w:rPr>
          <w:bCs/>
          <w:i/>
          <w:sz w:val="22"/>
          <w:szCs w:val="22"/>
        </w:rPr>
        <w:t xml:space="preserve">C034 </w:t>
      </w:r>
      <w:r w:rsidRPr="00EE43E7">
        <w:rPr>
          <w:i/>
          <w:sz w:val="22"/>
          <w:szCs w:val="22"/>
        </w:rPr>
        <w:t>Odhadované ročné zníženie emisií skleníkových plynov</w:t>
      </w:r>
      <w:r w:rsidRPr="00EE43E7">
        <w:rPr>
          <w:sz w:val="22"/>
          <w:szCs w:val="22"/>
        </w:rPr>
        <w:t xml:space="preserve"> na hodnotu 9 120 (z hodnoty 7 783). </w:t>
      </w:r>
    </w:p>
    <w:p w14:paraId="1FB6FBEE" w14:textId="77777777" w:rsidR="00AC1D1A" w:rsidRPr="00EE43E7" w:rsidRDefault="00AC1D1A" w:rsidP="00AC1D1A">
      <w:pPr>
        <w:spacing w:line="276" w:lineRule="auto"/>
        <w:jc w:val="both"/>
        <w:rPr>
          <w:sz w:val="22"/>
          <w:szCs w:val="22"/>
        </w:rPr>
      </w:pPr>
      <w:r w:rsidRPr="00EE43E7">
        <w:rPr>
          <w:bCs/>
          <w:sz w:val="22"/>
          <w:szCs w:val="22"/>
        </w:rPr>
        <w:t>Pre viac rozvinutý región došlo k zvýšeniu hodnôt MU</w:t>
      </w:r>
      <w:r w:rsidRPr="00EE43E7">
        <w:rPr>
          <w:bCs/>
          <w:i/>
          <w:sz w:val="22"/>
          <w:szCs w:val="22"/>
        </w:rPr>
        <w:t xml:space="preserve"> C031 Počet domácností zaradených do zlepšenej energetickej triedy</w:t>
      </w:r>
      <w:r w:rsidRPr="00EE43E7">
        <w:rPr>
          <w:bCs/>
          <w:sz w:val="22"/>
          <w:szCs w:val="22"/>
        </w:rPr>
        <w:t xml:space="preserve"> na hodnotu </w:t>
      </w:r>
      <w:r w:rsidRPr="00EE43E7">
        <w:rPr>
          <w:sz w:val="22"/>
          <w:szCs w:val="22"/>
        </w:rPr>
        <w:t xml:space="preserve">1 674 (z hodnoty 1 001), </w:t>
      </w:r>
      <w:r w:rsidRPr="00EE43E7">
        <w:rPr>
          <w:bCs/>
          <w:i/>
          <w:sz w:val="22"/>
          <w:szCs w:val="22"/>
        </w:rPr>
        <w:t xml:space="preserve">O0259 </w:t>
      </w:r>
      <w:r w:rsidRPr="00EE43E7">
        <w:rPr>
          <w:i/>
          <w:sz w:val="22"/>
          <w:szCs w:val="22"/>
        </w:rPr>
        <w:t>Ročná spotreba primárnej energie v bytových domoch</w:t>
      </w:r>
      <w:r w:rsidRPr="00EE43E7">
        <w:rPr>
          <w:sz w:val="22"/>
          <w:szCs w:val="22"/>
        </w:rPr>
        <w:t xml:space="preserve"> na hodnotu 9 186 855 (z hodnoty 5 492 732), </w:t>
      </w:r>
      <w:r w:rsidRPr="00EE43E7">
        <w:rPr>
          <w:bCs/>
          <w:i/>
          <w:sz w:val="22"/>
          <w:szCs w:val="22"/>
        </w:rPr>
        <w:t>O0255</w:t>
      </w:r>
      <w:r w:rsidRPr="00EE43E7">
        <w:rPr>
          <w:i/>
          <w:sz w:val="22"/>
          <w:szCs w:val="22"/>
        </w:rPr>
        <w:t xml:space="preserve"> Konečná spotreba energie </w:t>
      </w:r>
      <w:r w:rsidRPr="00EE43E7">
        <w:rPr>
          <w:sz w:val="22"/>
          <w:szCs w:val="22"/>
        </w:rPr>
        <w:t xml:space="preserve">na hodnotu 7 808 826 (z hodnoty 4 668 822), </w:t>
      </w:r>
      <w:r w:rsidRPr="00EE43E7">
        <w:rPr>
          <w:bCs/>
          <w:i/>
          <w:sz w:val="22"/>
          <w:szCs w:val="22"/>
        </w:rPr>
        <w:t xml:space="preserve">C034 </w:t>
      </w:r>
      <w:r w:rsidRPr="00EE43E7">
        <w:rPr>
          <w:i/>
          <w:sz w:val="22"/>
          <w:szCs w:val="22"/>
        </w:rPr>
        <w:t>Odhadované ročné zníženie emisií skleníkových plynov</w:t>
      </w:r>
      <w:r w:rsidRPr="00EE43E7">
        <w:rPr>
          <w:sz w:val="22"/>
          <w:szCs w:val="22"/>
        </w:rPr>
        <w:t xml:space="preserve"> na hodnotu 1 108 (z hodnoty 663) (tabuľka č. 7). </w:t>
      </w:r>
    </w:p>
    <w:p w14:paraId="49EB97BA" w14:textId="77777777" w:rsidR="00AC1D1A" w:rsidRPr="00EE43E7" w:rsidRDefault="00AC1D1A" w:rsidP="00AC1D1A">
      <w:pPr>
        <w:spacing w:before="120" w:line="276" w:lineRule="auto"/>
        <w:jc w:val="both"/>
        <w:rPr>
          <w:b/>
          <w:sz w:val="22"/>
          <w:szCs w:val="22"/>
        </w:rPr>
      </w:pPr>
      <w:r w:rsidRPr="00EE43E7">
        <w:rPr>
          <w:sz w:val="22"/>
          <w:szCs w:val="22"/>
        </w:rPr>
        <w:t xml:space="preserve">V rámci investičnej priority 4.3 pre menej </w:t>
      </w:r>
      <w:r w:rsidRPr="00EE43E7">
        <w:rPr>
          <w:bCs/>
          <w:sz w:val="22"/>
          <w:szCs w:val="22"/>
        </w:rPr>
        <w:t xml:space="preserve">rozvinutý región </w:t>
      </w:r>
      <w:r w:rsidRPr="00EE43E7">
        <w:rPr>
          <w:sz w:val="22"/>
          <w:szCs w:val="22"/>
        </w:rPr>
        <w:t xml:space="preserve">došlo k zníženiu hodnôt MU </w:t>
      </w:r>
      <w:r w:rsidRPr="00EE43E7">
        <w:rPr>
          <w:i/>
          <w:sz w:val="22"/>
          <w:szCs w:val="22"/>
        </w:rPr>
        <w:t>O0157</w:t>
      </w:r>
      <w:r w:rsidRPr="00EE43E7">
        <w:rPr>
          <w:bCs/>
          <w:sz w:val="22"/>
          <w:szCs w:val="22"/>
        </w:rPr>
        <w:t xml:space="preserve"> </w:t>
      </w:r>
      <w:r w:rsidRPr="00EE43E7">
        <w:rPr>
          <w:bCs/>
          <w:i/>
          <w:sz w:val="22"/>
          <w:szCs w:val="22"/>
        </w:rPr>
        <w:t xml:space="preserve">Kapacita na zadržanie  dažďovej vody v sídlach </w:t>
      </w:r>
      <w:r w:rsidRPr="00EE43E7">
        <w:rPr>
          <w:sz w:val="22"/>
          <w:szCs w:val="22"/>
        </w:rPr>
        <w:t xml:space="preserve">na hodnotu </w:t>
      </w:r>
      <w:r w:rsidRPr="00EE43E7">
        <w:rPr>
          <w:bCs/>
          <w:sz w:val="22"/>
          <w:szCs w:val="22"/>
        </w:rPr>
        <w:t>3 771</w:t>
      </w:r>
      <w:r w:rsidRPr="00EE43E7">
        <w:rPr>
          <w:sz w:val="22"/>
          <w:szCs w:val="22"/>
        </w:rPr>
        <w:t xml:space="preserve"> (z hodnoty </w:t>
      </w:r>
      <w:r w:rsidRPr="00EE43E7">
        <w:rPr>
          <w:bCs/>
          <w:sz w:val="22"/>
          <w:szCs w:val="22"/>
        </w:rPr>
        <w:t>5 846</w:t>
      </w:r>
      <w:r w:rsidRPr="00EE43E7">
        <w:rPr>
          <w:sz w:val="22"/>
          <w:szCs w:val="22"/>
        </w:rPr>
        <w:t xml:space="preserve">), </w:t>
      </w:r>
      <w:r w:rsidRPr="00EE43E7">
        <w:rPr>
          <w:i/>
          <w:sz w:val="22"/>
          <w:szCs w:val="22"/>
        </w:rPr>
        <w:t>C038</w:t>
      </w:r>
      <w:r w:rsidRPr="00EE43E7">
        <w:rPr>
          <w:bCs/>
          <w:sz w:val="22"/>
          <w:szCs w:val="22"/>
        </w:rPr>
        <w:t xml:space="preserve"> </w:t>
      </w:r>
      <w:r w:rsidRPr="00EE43E7">
        <w:rPr>
          <w:bCs/>
          <w:i/>
          <w:sz w:val="22"/>
          <w:szCs w:val="22"/>
        </w:rPr>
        <w:t>Vytvorené alebo obnovené otvorené priestranstvá v mestských oblastiach</w:t>
      </w:r>
      <w:r w:rsidRPr="00EE43E7">
        <w:rPr>
          <w:sz w:val="22"/>
          <w:szCs w:val="22"/>
        </w:rPr>
        <w:t xml:space="preserve"> na hodnotu </w:t>
      </w:r>
      <w:r w:rsidRPr="00EE43E7">
        <w:rPr>
          <w:bCs/>
          <w:sz w:val="22"/>
          <w:szCs w:val="22"/>
        </w:rPr>
        <w:t>1 406 113</w:t>
      </w:r>
      <w:r w:rsidRPr="00EE43E7">
        <w:rPr>
          <w:sz w:val="22"/>
          <w:szCs w:val="22"/>
        </w:rPr>
        <w:t xml:space="preserve"> (z hodnoty </w:t>
      </w:r>
      <w:r w:rsidRPr="00EE43E7">
        <w:rPr>
          <w:bCs/>
          <w:sz w:val="22"/>
          <w:szCs w:val="22"/>
        </w:rPr>
        <w:t>1 573 172</w:t>
      </w:r>
      <w:r w:rsidRPr="00EE43E7">
        <w:rPr>
          <w:sz w:val="22"/>
          <w:szCs w:val="22"/>
        </w:rPr>
        <w:t xml:space="preserve">) a </w:t>
      </w:r>
      <w:r w:rsidRPr="00EE43E7">
        <w:rPr>
          <w:i/>
          <w:sz w:val="22"/>
          <w:szCs w:val="22"/>
        </w:rPr>
        <w:t>O0239</w:t>
      </w:r>
      <w:r w:rsidRPr="00EE43E7">
        <w:rPr>
          <w:bCs/>
          <w:sz w:val="22"/>
          <w:szCs w:val="22"/>
        </w:rPr>
        <w:t xml:space="preserve"> </w:t>
      </w:r>
      <w:r w:rsidRPr="00EE43E7">
        <w:rPr>
          <w:bCs/>
          <w:i/>
          <w:sz w:val="22"/>
          <w:szCs w:val="22"/>
        </w:rPr>
        <w:t>Počet zavedených opatrení na zníženie hluku</w:t>
      </w:r>
      <w:r w:rsidRPr="00EE43E7">
        <w:rPr>
          <w:sz w:val="22"/>
          <w:szCs w:val="22"/>
        </w:rPr>
        <w:t xml:space="preserve"> na hodnotu 12 (z hodnoty 14) (tabuľka č. 8).</w:t>
      </w:r>
    </w:p>
    <w:p w14:paraId="6E28923C" w14:textId="77777777" w:rsidR="00AC1D1A" w:rsidRPr="00EE43E7" w:rsidRDefault="00AC1D1A" w:rsidP="00AC1D1A">
      <w:pPr>
        <w:rPr>
          <w:b/>
          <w:sz w:val="22"/>
          <w:szCs w:val="22"/>
        </w:rPr>
        <w:sectPr w:rsidR="00AC1D1A" w:rsidRPr="00EE43E7" w:rsidSect="00EE43E7">
          <w:pgSz w:w="11906" w:h="16838"/>
          <w:pgMar w:top="1559" w:right="1134" w:bottom="1418" w:left="1418" w:header="709" w:footer="709" w:gutter="0"/>
          <w:cols w:space="708"/>
          <w:titlePg/>
          <w:docGrid w:linePitch="360"/>
        </w:sectPr>
      </w:pPr>
    </w:p>
    <w:p w14:paraId="257EF592" w14:textId="77777777" w:rsidR="00AC1D1A" w:rsidRPr="0007767F" w:rsidRDefault="00AC1D1A" w:rsidP="00AC1D1A">
      <w:pPr>
        <w:spacing w:before="80" w:after="80" w:line="245" w:lineRule="auto"/>
        <w:jc w:val="both"/>
        <w:rPr>
          <w:b/>
          <w:color w:val="000000"/>
          <w:sz w:val="18"/>
          <w:szCs w:val="18"/>
        </w:rPr>
      </w:pPr>
      <w:r w:rsidRPr="0007767F">
        <w:rPr>
          <w:b/>
          <w:color w:val="000000"/>
          <w:sz w:val="18"/>
          <w:szCs w:val="18"/>
        </w:rPr>
        <w:lastRenderedPageBreak/>
        <w:t>Tabuľka č. 2. Prehľad vybraných výstupových ukazovateľov investičnej priority 1.2, pri ktorých dochádza k zmene a doplneniu cieľových hodnôt</w:t>
      </w:r>
    </w:p>
    <w:tbl>
      <w:tblPr>
        <w:tblW w:w="15299" w:type="dxa"/>
        <w:tbl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H w:val="single" w:sz="8" w:space="0" w:color="4E67C8"/>
          <w:insideV w:val="single" w:sz="8" w:space="0" w:color="4E67C8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1910"/>
        <w:gridCol w:w="1209"/>
        <w:gridCol w:w="708"/>
        <w:gridCol w:w="1276"/>
        <w:gridCol w:w="567"/>
        <w:gridCol w:w="567"/>
        <w:gridCol w:w="850"/>
        <w:gridCol w:w="709"/>
        <w:gridCol w:w="850"/>
        <w:gridCol w:w="567"/>
        <w:gridCol w:w="850"/>
        <w:gridCol w:w="4537"/>
      </w:tblGrid>
      <w:tr w:rsidR="00AC1D1A" w:rsidRPr="0007767F" w14:paraId="3231B2EB" w14:textId="77777777" w:rsidTr="009161AF">
        <w:trPr>
          <w:trHeight w:val="431"/>
        </w:trPr>
        <w:tc>
          <w:tcPr>
            <w:tcW w:w="699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29F9990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910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FD2F3A5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Ukazovateľ</w:t>
            </w:r>
          </w:p>
        </w:tc>
        <w:tc>
          <w:tcPr>
            <w:tcW w:w="1209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AD9BB9D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708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DFF3220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Fond</w:t>
            </w:r>
          </w:p>
        </w:tc>
        <w:tc>
          <w:tcPr>
            <w:tcW w:w="1276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232E964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Kategória regiónu</w:t>
            </w:r>
          </w:p>
        </w:tc>
        <w:tc>
          <w:tcPr>
            <w:tcW w:w="1984" w:type="dxa"/>
            <w:gridSpan w:val="3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6306D3B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Cieľová hodnota (2023)</w:t>
            </w:r>
          </w:p>
        </w:tc>
        <w:tc>
          <w:tcPr>
            <w:tcW w:w="709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</w:tcPr>
          <w:p w14:paraId="7ADB4A58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% zmena ukazovateľa</w:t>
            </w:r>
            <w:r w:rsidRPr="0007767F" w:rsidDel="00D1774B">
              <w:rPr>
                <w:rStyle w:val="Odkaznakomentr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</w:tcPr>
          <w:p w14:paraId="49C010F9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% zmena alokácie</w:t>
            </w:r>
          </w:p>
        </w:tc>
        <w:tc>
          <w:tcPr>
            <w:tcW w:w="567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857F5CC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Zdroj dát</w:t>
            </w:r>
          </w:p>
        </w:tc>
        <w:tc>
          <w:tcPr>
            <w:tcW w:w="850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vAlign w:val="center"/>
          </w:tcPr>
          <w:p w14:paraId="117D8F0B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Frekvencia podávania správ</w:t>
            </w:r>
          </w:p>
        </w:tc>
        <w:tc>
          <w:tcPr>
            <w:tcW w:w="4537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vAlign w:val="center"/>
          </w:tcPr>
          <w:p w14:paraId="18E55D1C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Zdôvodnenie zmeny cieľovej hodnoty ukazovateľa</w:t>
            </w:r>
          </w:p>
        </w:tc>
      </w:tr>
      <w:tr w:rsidR="00AC1D1A" w:rsidRPr="0007767F" w14:paraId="1BDD3006" w14:textId="77777777" w:rsidTr="009161AF">
        <w:trPr>
          <w:trHeight w:val="397"/>
        </w:trPr>
        <w:tc>
          <w:tcPr>
            <w:tcW w:w="699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37A9C09B" w14:textId="77777777" w:rsidR="00AC1D1A" w:rsidRPr="0007767F" w:rsidRDefault="00AC1D1A" w:rsidP="00EE43E7">
            <w:pPr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064ECEFB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18673067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49B8A241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4B35725A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C70BF42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C663BA3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Ž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90AD54D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M+Ž</w:t>
            </w:r>
          </w:p>
        </w:tc>
        <w:tc>
          <w:tcPr>
            <w:tcW w:w="709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1FA5B2D5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32CA5046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16765E6E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561162FF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537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740FC3F3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</w:tr>
      <w:tr w:rsidR="00AC1D1A" w:rsidRPr="0007767F" w14:paraId="36491D99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F881BA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O0128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39924A9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Dĺžka nových úsekov cyklistických komunikácií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5206F8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km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863DC9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A13914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Viac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BB968F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2FCEEE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C66C51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45</w:t>
            </w:r>
          </w:p>
          <w:p w14:paraId="4DA44978" w14:textId="77777777" w:rsidR="00AC1D1A" w:rsidRPr="0007767F" w:rsidDel="00967649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32A354F7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-16,7%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3EFF4F7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-16%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3974F0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EBED8F7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3A966262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Hodnota merateľného ukazovateľa sa mení z dôvodu vyššej investičnej náročnosti projektov prevažne v mestskom prostredí realizovaných v území UMR BA.</w:t>
            </w:r>
          </w:p>
        </w:tc>
      </w:tr>
      <w:tr w:rsidR="00AC1D1A" w:rsidRPr="0007767F" w14:paraId="0E400FA2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E0141D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O0243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1468A21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Počet prestupných uzlov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A2DC4F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8EB162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DBE696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Menej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CDEFE6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1D1C2E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72E795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19</w:t>
            </w:r>
          </w:p>
          <w:p w14:paraId="6CF220F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1FE7E1E7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-52,6%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1DD20EB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-38,52%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E8A89D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3D712B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2CF6AC63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Hodnota merateľného ukazovateľa sa mení z dôvodu nesprávneho predpokladu stanovenia priorít rozvoja verejnej osobnej dopravy na území MRR. </w:t>
            </w:r>
          </w:p>
        </w:tc>
      </w:tr>
      <w:tr w:rsidR="00AC1D1A" w:rsidRPr="0007767F" w14:paraId="55703456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AA4802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O0133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3D480BB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Počet vybudovaných a modernizovaných integrovaných zastávok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A5B3A6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8DBA12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CC185E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Menej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73A754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8B25C4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D8B7CD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148</w:t>
            </w:r>
          </w:p>
          <w:p w14:paraId="1B421F67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52BB624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-33,8%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79B6DA1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-38,52%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6D8C3E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4E1176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7A4C1FE3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Pôvodná hodnota merateľného ukazovateľa vychádzala z predpokladu zacielenia intervencií v rámci verejnej osobnej dopravy prevažne do podpory infraštruktúry. Uvedený predpoklad sa počas napĺňania priorít ukázal ako nepresný. </w:t>
            </w:r>
          </w:p>
        </w:tc>
      </w:tr>
      <w:tr w:rsidR="00AC1D1A" w:rsidRPr="0007767F" w14:paraId="38519CC1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C949E3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O0133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C873936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Počet vybudovaných a modernizovaných integrovaných zastávok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AAACF8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5E7E16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BBE2BB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Viac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99EFCE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3589DA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9A40B6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245</w:t>
            </w:r>
          </w:p>
          <w:p w14:paraId="3556F13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6370DA0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-56%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7B68C22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-5,3%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CECAE2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EE0F3B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36F38C14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Vo verzii 9.0 bola nesprávne stanovená prognóza novo-nastavenej cieľovej hodnoty merateľného ukazovateľa. Metodicky bola hodnota ukazovateľa nepresne odhadnutá. Pôvodná hodnota merateľného ukazovateľa vychádzala z predpokladu zacielenia intervencií v rámci verejnej osobnej dopravy prevažne do podpory infraštruktúry. Uvedený predpoklad sa počas napĺňania priorít ukázal ako nepresný.</w:t>
            </w:r>
          </w:p>
        </w:tc>
      </w:tr>
    </w:tbl>
    <w:p w14:paraId="2DF76883" w14:textId="77777777" w:rsidR="00AC1D1A" w:rsidRPr="0007767F" w:rsidRDefault="00AC1D1A" w:rsidP="00AC1D1A">
      <w:pPr>
        <w:spacing w:before="240" w:after="80" w:line="245" w:lineRule="auto"/>
        <w:jc w:val="both"/>
        <w:rPr>
          <w:b/>
          <w:color w:val="000000"/>
          <w:sz w:val="18"/>
          <w:szCs w:val="18"/>
        </w:rPr>
      </w:pPr>
      <w:r w:rsidRPr="0007767F">
        <w:rPr>
          <w:b/>
          <w:color w:val="000000"/>
          <w:sz w:val="18"/>
          <w:szCs w:val="18"/>
        </w:rPr>
        <w:t>Tabuľka č. 3. Prehľad vybraných výstupových ukazovateľov investičnej priority 2.1., pri ktorých dochádza k zmene a doplneniu cieľových hodnôt</w:t>
      </w:r>
    </w:p>
    <w:tbl>
      <w:tblPr>
        <w:tblW w:w="15299" w:type="dxa"/>
        <w:tbl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H w:val="single" w:sz="8" w:space="0" w:color="4E67C8"/>
          <w:insideV w:val="single" w:sz="8" w:space="0" w:color="4E67C8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1910"/>
        <w:gridCol w:w="1209"/>
        <w:gridCol w:w="708"/>
        <w:gridCol w:w="1276"/>
        <w:gridCol w:w="567"/>
        <w:gridCol w:w="567"/>
        <w:gridCol w:w="850"/>
        <w:gridCol w:w="709"/>
        <w:gridCol w:w="850"/>
        <w:gridCol w:w="567"/>
        <w:gridCol w:w="850"/>
        <w:gridCol w:w="4537"/>
      </w:tblGrid>
      <w:tr w:rsidR="00AC1D1A" w:rsidRPr="0007767F" w14:paraId="1CFBE912" w14:textId="77777777" w:rsidTr="009161AF">
        <w:trPr>
          <w:trHeight w:val="431"/>
        </w:trPr>
        <w:tc>
          <w:tcPr>
            <w:tcW w:w="699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7713F9C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910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EA20B3B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Ukazovateľ</w:t>
            </w:r>
          </w:p>
        </w:tc>
        <w:tc>
          <w:tcPr>
            <w:tcW w:w="1209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9959BD1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708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B878269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Fond</w:t>
            </w:r>
          </w:p>
        </w:tc>
        <w:tc>
          <w:tcPr>
            <w:tcW w:w="1276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8A2B5AE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Kategória regiónu</w:t>
            </w:r>
          </w:p>
        </w:tc>
        <w:tc>
          <w:tcPr>
            <w:tcW w:w="1984" w:type="dxa"/>
            <w:gridSpan w:val="3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520D59D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Cieľová hodnota (2023)</w:t>
            </w:r>
          </w:p>
        </w:tc>
        <w:tc>
          <w:tcPr>
            <w:tcW w:w="709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</w:tcPr>
          <w:p w14:paraId="17AFB61D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% zmena ukazovateľa</w:t>
            </w:r>
          </w:p>
        </w:tc>
        <w:tc>
          <w:tcPr>
            <w:tcW w:w="850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</w:tcPr>
          <w:p w14:paraId="4AEA345A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% zmena alokácie</w:t>
            </w:r>
          </w:p>
        </w:tc>
        <w:tc>
          <w:tcPr>
            <w:tcW w:w="567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5E734EB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Zdroj dát</w:t>
            </w:r>
          </w:p>
        </w:tc>
        <w:tc>
          <w:tcPr>
            <w:tcW w:w="850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vAlign w:val="center"/>
          </w:tcPr>
          <w:p w14:paraId="61E5D524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Frekvencia podávania správ</w:t>
            </w:r>
          </w:p>
        </w:tc>
        <w:tc>
          <w:tcPr>
            <w:tcW w:w="4537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vAlign w:val="center"/>
          </w:tcPr>
          <w:p w14:paraId="492EA1A4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Zdôvodnenie zmeny cieľovej hodnoty ukazovateľa</w:t>
            </w:r>
          </w:p>
        </w:tc>
      </w:tr>
      <w:tr w:rsidR="00AC1D1A" w:rsidRPr="0007767F" w14:paraId="3127EF5D" w14:textId="77777777" w:rsidTr="009161AF">
        <w:trPr>
          <w:trHeight w:val="397"/>
        </w:trPr>
        <w:tc>
          <w:tcPr>
            <w:tcW w:w="699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07291EE0" w14:textId="77777777" w:rsidR="00AC1D1A" w:rsidRPr="0007767F" w:rsidRDefault="00AC1D1A" w:rsidP="00EE43E7">
            <w:pPr>
              <w:jc w:val="both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4F9227DA" w14:textId="77777777" w:rsidR="00AC1D1A" w:rsidRPr="0007767F" w:rsidRDefault="00AC1D1A" w:rsidP="00EE43E7">
            <w:pPr>
              <w:jc w:val="both"/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350FC40B" w14:textId="77777777" w:rsidR="00AC1D1A" w:rsidRPr="0007767F" w:rsidRDefault="00AC1D1A" w:rsidP="00EE43E7">
            <w:pPr>
              <w:jc w:val="both"/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38E0986A" w14:textId="77777777" w:rsidR="00AC1D1A" w:rsidRPr="0007767F" w:rsidRDefault="00AC1D1A" w:rsidP="00EE43E7">
            <w:pPr>
              <w:jc w:val="both"/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1B43D9C0" w14:textId="77777777" w:rsidR="00AC1D1A" w:rsidRPr="0007767F" w:rsidRDefault="00AC1D1A" w:rsidP="00EE43E7">
            <w:pPr>
              <w:jc w:val="both"/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50559EB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9574492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Ž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3EE515A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M+Ž</w:t>
            </w:r>
          </w:p>
        </w:tc>
        <w:tc>
          <w:tcPr>
            <w:tcW w:w="709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18B3F25E" w14:textId="77777777" w:rsidR="00AC1D1A" w:rsidRPr="0007767F" w:rsidRDefault="00AC1D1A" w:rsidP="00EE43E7">
            <w:pPr>
              <w:jc w:val="both"/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4A65BF9D" w14:textId="77777777" w:rsidR="00AC1D1A" w:rsidRPr="0007767F" w:rsidRDefault="00AC1D1A" w:rsidP="00EE43E7">
            <w:pPr>
              <w:jc w:val="both"/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3C74BE1B" w14:textId="77777777" w:rsidR="00AC1D1A" w:rsidRPr="0007767F" w:rsidRDefault="00AC1D1A" w:rsidP="00EE43E7">
            <w:pPr>
              <w:jc w:val="both"/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65ADE401" w14:textId="77777777" w:rsidR="00AC1D1A" w:rsidRPr="0007767F" w:rsidRDefault="00AC1D1A" w:rsidP="00EE43E7">
            <w:pPr>
              <w:jc w:val="both"/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537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5B10DE2B" w14:textId="77777777" w:rsidR="00AC1D1A" w:rsidRPr="0007767F" w:rsidRDefault="00AC1D1A" w:rsidP="00EE43E7">
            <w:pPr>
              <w:jc w:val="both"/>
              <w:rPr>
                <w:b/>
                <w:bCs/>
                <w:strike/>
                <w:sz w:val="18"/>
                <w:szCs w:val="18"/>
              </w:rPr>
            </w:pPr>
          </w:p>
        </w:tc>
      </w:tr>
      <w:tr w:rsidR="00AC1D1A" w:rsidRPr="0007767F" w14:paraId="12A2B807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416912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O0250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0CBAB95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Kapacita podporených zariadení sociálnych služieb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0825D3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miesto v sociálnych službách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43F5BB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DADD5D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Menej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0F2787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1037C3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DC20D4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2 412</w:t>
            </w:r>
          </w:p>
          <w:p w14:paraId="3884EDFB" w14:textId="77777777" w:rsidR="00AC1D1A" w:rsidRPr="0007767F" w:rsidDel="00967649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1 800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5EAA9A1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-25,4%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51E5368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-46,91%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1697CE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6EAB6E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1577090B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Hodnota merateľného ukazovateľa sa mení z dôvodu nesprávneho predpokladu navyšovania kapacít zariadení sociálnych služieb na komunitnej úrovni a plnenia národných stratégií </w:t>
            </w:r>
            <w:proofErr w:type="spellStart"/>
            <w:r w:rsidRPr="0007767F">
              <w:rPr>
                <w:sz w:val="18"/>
                <w:szCs w:val="18"/>
              </w:rPr>
              <w:t>deinštitucionalizácie</w:t>
            </w:r>
            <w:proofErr w:type="spellEnd"/>
            <w:r w:rsidRPr="0007767F">
              <w:rPr>
                <w:sz w:val="18"/>
                <w:szCs w:val="18"/>
              </w:rPr>
              <w:t xml:space="preserve"> zariadení sociálnych služieb. </w:t>
            </w:r>
          </w:p>
        </w:tc>
      </w:tr>
      <w:tr w:rsidR="00AC1D1A" w:rsidRPr="0007767F" w14:paraId="6DAA3C53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77A8D8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O0136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3945B99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Počet podporených zariadení výkonu opatrení sociálnoprávnej ochrany detí </w:t>
            </w:r>
            <w:r w:rsidRPr="0007767F">
              <w:rPr>
                <w:sz w:val="18"/>
                <w:szCs w:val="18"/>
              </w:rPr>
              <w:lastRenderedPageBreak/>
              <w:t>a sociálnej kurately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D8AB11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lastRenderedPageBreak/>
              <w:t>počet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CB93F4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9BEA61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Viac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1F7C6C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992BAF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D1C097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3</w:t>
            </w:r>
          </w:p>
          <w:p w14:paraId="37A43C1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32A18BE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-66,7%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7A81F9E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-30,39%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75E22C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16A491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05822AA2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Hodnota merateľného ukazovateľa sa mení z dôvodu nesprávneho predpokladu pri plnení Plánu transformácie a </w:t>
            </w:r>
            <w:proofErr w:type="spellStart"/>
            <w:r w:rsidRPr="0007767F">
              <w:rPr>
                <w:sz w:val="18"/>
                <w:szCs w:val="18"/>
              </w:rPr>
              <w:t>deinštitucionalizácie</w:t>
            </w:r>
            <w:proofErr w:type="spellEnd"/>
            <w:r w:rsidRPr="0007767F">
              <w:rPr>
                <w:sz w:val="18"/>
                <w:szCs w:val="18"/>
              </w:rPr>
              <w:t xml:space="preserve"> národnej starostlivosti. Úprava zohľadňuje aj náročnosť procesu prípravy investícií ako je napr. vysporiadane pozemkov, </w:t>
            </w:r>
            <w:r w:rsidRPr="0007767F">
              <w:rPr>
                <w:sz w:val="18"/>
                <w:szCs w:val="18"/>
              </w:rPr>
              <w:lastRenderedPageBreak/>
              <w:t xml:space="preserve">budov a s tým súvisiace povolenia na realizáciu stavby. Zmena zohľadňuje aj zvýšenie cien stavebných materiálov. </w:t>
            </w:r>
          </w:p>
        </w:tc>
      </w:tr>
      <w:tr w:rsidR="00AC1D1A" w:rsidRPr="0007767F" w14:paraId="719CC26C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6D9343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lastRenderedPageBreak/>
              <w:t>O0140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5B3EEFA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Počet zariadení starostlivosti o deti do troch rokov veku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2E3C8F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7A22F0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3F41F2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Menej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75CDB3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051921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45F159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35</w:t>
            </w:r>
          </w:p>
          <w:p w14:paraId="6ECB038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7D5390E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-22,9%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09EA208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-46,91%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5EE4FE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27B421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5DA3D7DB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Hodnota merateľného ukazovateľa sa mení z dôvodu chybného odhadu poskytovania dennej formy služieb starostlivosti o dieťa do troch rokov veku definovanej v zákone č. 448/2008 Z. z. o sociálnych službách. </w:t>
            </w:r>
          </w:p>
        </w:tc>
      </w:tr>
      <w:tr w:rsidR="00AC1D1A" w:rsidRPr="0007767F" w14:paraId="217553C5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5DBAF9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O0221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7EBB4D4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Kapacita podporených zariadení starostlivosti o deti do troch rokov veku 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88510B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miesto v zariadení starostlivosti o deti do troch rokov veku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3DF254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2A6FF9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Menej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BA8576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42D63D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C5BA75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630</w:t>
            </w:r>
          </w:p>
          <w:p w14:paraId="132E861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7ADB456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-24,1%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49031FF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-46,91%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7EF328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E7179E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725E29C5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Hodnota merateľného ukazovateľa sa mení z dôvodu chybného odhadu poskytovania dennej formy služieb starostlivosti o dieťa do troch rokov veku definovanej v zákone č. 448/2008 Z. z. o sociálnych službách.</w:t>
            </w:r>
          </w:p>
        </w:tc>
      </w:tr>
      <w:tr w:rsidR="00AC1D1A" w:rsidRPr="0007767F" w14:paraId="228BEC7D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D1B60F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C0032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E62D61F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 xml:space="preserve">Zníženie ročnej spotreby primárnej energie vo verejných budovách 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0BD0B3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kWh/rok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F63763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5BC3D1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Menej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18121A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1F5E72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1B0AB7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07767F">
              <w:rPr>
                <w:bCs/>
                <w:strike/>
                <w:sz w:val="18"/>
                <w:szCs w:val="18"/>
              </w:rPr>
              <w:t>16 910 322</w:t>
            </w:r>
          </w:p>
          <w:p w14:paraId="41ADC85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11 522 331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42EBBDF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-31,8%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68E2CEE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-46,91%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028FDB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F992D7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52730B78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RO pre IROP pri tvorbe programu nastavoval cieľové hodnoty ukazovateľa odhadom, keďže nastavený implementačný mechanizmus nestanovoval povinnosť pri každej intervencií realizovať aj prvky energetickej efektívnosti. Hodnota merateľného ukazovateľa sa mení aj z dôvodu nepriaznivého vývoja cien v stavebníctve. </w:t>
            </w:r>
          </w:p>
        </w:tc>
      </w:tr>
      <w:tr w:rsidR="00AC1D1A" w:rsidRPr="0007767F" w14:paraId="7EFE6F8A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CFC2E7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O0224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19011EE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F0CAB0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m2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409338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009DC8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Menej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55D891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0605E9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C18B127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07767F">
              <w:rPr>
                <w:bCs/>
                <w:strike/>
                <w:sz w:val="18"/>
                <w:szCs w:val="18"/>
              </w:rPr>
              <w:t>341 200</w:t>
            </w:r>
          </w:p>
          <w:p w14:paraId="2A50DBC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193 949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7B0CCC8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-43,1%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35106207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-46,91%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08D812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F9FBFF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0E94D6BB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Hodnota merateľného ukazovateľa sa mení z dôvodu nesprávneho odhadu vykonaného pri nastavení cieľovej hodnoty a v nadväznosti na stanovený implementačný mechanizmus. </w:t>
            </w:r>
          </w:p>
        </w:tc>
      </w:tr>
      <w:tr w:rsidR="00AC1D1A" w:rsidRPr="0007767F" w14:paraId="1272FB02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209F66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CV63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33E64DF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 xml:space="preserve">Zakúpené očkovacie dávky 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BB0933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dávka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00D359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5CCF48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Menej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2CE051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4A5E44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B323B2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07767F">
              <w:rPr>
                <w:bCs/>
                <w:strike/>
                <w:sz w:val="18"/>
                <w:szCs w:val="18"/>
              </w:rPr>
              <w:t>1 830 655</w:t>
            </w:r>
          </w:p>
          <w:p w14:paraId="4113063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3 593 367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11E2C37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+96,3%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4371E21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+31,66%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2FB1367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5240CB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309A2F5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Upravená hodnota merateľného ukazovateľa zohľadňuje potrebu zvýšenia kolektívnej imunity ako ochrany pred stále pretrvávajúcim šírením </w:t>
            </w:r>
            <w:proofErr w:type="spellStart"/>
            <w:r w:rsidRPr="0007767F">
              <w:rPr>
                <w:sz w:val="18"/>
                <w:szCs w:val="18"/>
              </w:rPr>
              <w:t>koronavírusu</w:t>
            </w:r>
            <w:proofErr w:type="spellEnd"/>
            <w:r w:rsidRPr="0007767F">
              <w:rPr>
                <w:sz w:val="18"/>
                <w:szCs w:val="18"/>
              </w:rPr>
              <w:t xml:space="preserve"> SARS-COV-19 v jeho rôznych mutáciách. Zakúpené </w:t>
            </w:r>
            <w:proofErr w:type="spellStart"/>
            <w:r w:rsidRPr="0007767F">
              <w:rPr>
                <w:sz w:val="18"/>
                <w:szCs w:val="18"/>
              </w:rPr>
              <w:t>pandemické</w:t>
            </w:r>
            <w:proofErr w:type="spellEnd"/>
            <w:r w:rsidRPr="0007767F">
              <w:rPr>
                <w:sz w:val="18"/>
                <w:szCs w:val="18"/>
              </w:rPr>
              <w:t xml:space="preserve"> vakcíny sú určené na očkovanie a budú použité na území menej rozvinutého regiónu. </w:t>
            </w:r>
          </w:p>
          <w:p w14:paraId="23BD319A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Pôvodná hodnota je navýšená o 1 762 712 dávok, pričom jednotková cena za očkovaciu dávku je stanovená na 14,75 eur a predstavuje to priemernú cenu jednej dávky za vakcíny, ktoré sa plánujú v rámci tejto intervencie preplatiť.  Toto navýšenie predstavuje sumu 26 mil. eur.  </w:t>
            </w:r>
          </w:p>
          <w:p w14:paraId="2C2494F3" w14:textId="77777777" w:rsidR="00AC1D1A" w:rsidRPr="0007767F" w:rsidRDefault="00AC1D1A" w:rsidP="00EE43E7">
            <w:pPr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Jednotková cena na očkovaciu dávku v cieľovej hodnote pred zmenou predstavuje sumu 13,12 eur. Cena tejto jednej očkovacej dávky bola pôvodne stanovaná odhadom, pri ktorom boli zohľadnené všetky dostupné a oprávnené značky vakcín. Zvýšenie o 1,63 eur ovplyvňuje typ vakcíny, ktorá bude predmetom podpory intervencie. Najväčšie zastúpenia majú vakcíny </w:t>
            </w:r>
            <w:proofErr w:type="spellStart"/>
            <w:r w:rsidRPr="0007767F">
              <w:rPr>
                <w:sz w:val="18"/>
                <w:szCs w:val="18"/>
              </w:rPr>
              <w:t>commirnaty</w:t>
            </w:r>
            <w:proofErr w:type="spellEnd"/>
            <w:r w:rsidRPr="0007767F">
              <w:rPr>
                <w:sz w:val="18"/>
                <w:szCs w:val="18"/>
              </w:rPr>
              <w:t xml:space="preserve"> a moderna.</w:t>
            </w:r>
          </w:p>
        </w:tc>
      </w:tr>
    </w:tbl>
    <w:p w14:paraId="60142F33" w14:textId="77777777" w:rsidR="00AC1D1A" w:rsidRPr="0007767F" w:rsidRDefault="00AC1D1A" w:rsidP="00AC1D1A">
      <w:pPr>
        <w:spacing w:before="240" w:after="80" w:line="245" w:lineRule="auto"/>
        <w:jc w:val="both"/>
        <w:rPr>
          <w:b/>
          <w:color w:val="000000"/>
          <w:sz w:val="18"/>
          <w:szCs w:val="18"/>
        </w:rPr>
      </w:pPr>
      <w:r w:rsidRPr="0007767F">
        <w:rPr>
          <w:b/>
          <w:color w:val="000000"/>
          <w:sz w:val="18"/>
          <w:szCs w:val="18"/>
        </w:rPr>
        <w:lastRenderedPageBreak/>
        <w:t>Tabuľka č. 4. Prehľad vybraných výstupových ukazovateľov investičnej priority 2.2., pri ktorých dochádza k zmene a doplneniu cieľových hodnôt</w:t>
      </w:r>
    </w:p>
    <w:tbl>
      <w:tblPr>
        <w:tblW w:w="15299" w:type="dxa"/>
        <w:tbl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H w:val="single" w:sz="8" w:space="0" w:color="4E67C8"/>
          <w:insideV w:val="single" w:sz="8" w:space="0" w:color="4E67C8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1910"/>
        <w:gridCol w:w="1209"/>
        <w:gridCol w:w="708"/>
        <w:gridCol w:w="1276"/>
        <w:gridCol w:w="567"/>
        <w:gridCol w:w="567"/>
        <w:gridCol w:w="850"/>
        <w:gridCol w:w="709"/>
        <w:gridCol w:w="850"/>
        <w:gridCol w:w="567"/>
        <w:gridCol w:w="850"/>
        <w:gridCol w:w="4537"/>
      </w:tblGrid>
      <w:tr w:rsidR="00AC1D1A" w:rsidRPr="0007767F" w14:paraId="360C8FAD" w14:textId="77777777" w:rsidTr="009161AF">
        <w:trPr>
          <w:trHeight w:val="431"/>
        </w:trPr>
        <w:tc>
          <w:tcPr>
            <w:tcW w:w="699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163AF91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910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85300B3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Ukazovateľ</w:t>
            </w:r>
          </w:p>
        </w:tc>
        <w:tc>
          <w:tcPr>
            <w:tcW w:w="1209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34EC79E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708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04CCF9E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Fond</w:t>
            </w:r>
          </w:p>
        </w:tc>
        <w:tc>
          <w:tcPr>
            <w:tcW w:w="1276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DC5A45B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Kategória regiónu</w:t>
            </w:r>
          </w:p>
        </w:tc>
        <w:tc>
          <w:tcPr>
            <w:tcW w:w="1984" w:type="dxa"/>
            <w:gridSpan w:val="3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23F2D98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Cieľová hodnota (2023)</w:t>
            </w:r>
          </w:p>
        </w:tc>
        <w:tc>
          <w:tcPr>
            <w:tcW w:w="709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</w:tcPr>
          <w:p w14:paraId="5CC507D8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% zmena ukazovateľa</w:t>
            </w:r>
          </w:p>
        </w:tc>
        <w:tc>
          <w:tcPr>
            <w:tcW w:w="850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</w:tcPr>
          <w:p w14:paraId="0DCACB54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% zmena alokácie</w:t>
            </w:r>
          </w:p>
        </w:tc>
        <w:tc>
          <w:tcPr>
            <w:tcW w:w="567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7E71189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Zdroj dát</w:t>
            </w:r>
          </w:p>
        </w:tc>
        <w:tc>
          <w:tcPr>
            <w:tcW w:w="850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vAlign w:val="center"/>
          </w:tcPr>
          <w:p w14:paraId="36987B34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Frekvencia podávania správ</w:t>
            </w:r>
          </w:p>
        </w:tc>
        <w:tc>
          <w:tcPr>
            <w:tcW w:w="4537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vAlign w:val="center"/>
          </w:tcPr>
          <w:p w14:paraId="12BB49D8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Zdôvodnenie zmeny cieľovej hodnoty ukazovateľa</w:t>
            </w:r>
          </w:p>
        </w:tc>
      </w:tr>
      <w:tr w:rsidR="00AC1D1A" w:rsidRPr="0007767F" w14:paraId="2CC084CF" w14:textId="77777777" w:rsidTr="009161AF">
        <w:trPr>
          <w:trHeight w:val="397"/>
        </w:trPr>
        <w:tc>
          <w:tcPr>
            <w:tcW w:w="699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1AF0C022" w14:textId="77777777" w:rsidR="00AC1D1A" w:rsidRPr="0007767F" w:rsidRDefault="00AC1D1A" w:rsidP="00EE43E7">
            <w:pPr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21079B7D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3BE4DAA9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55A54D79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419A111F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E8F96E5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59CB7B7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Ž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840D03C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M+Ž</w:t>
            </w:r>
          </w:p>
        </w:tc>
        <w:tc>
          <w:tcPr>
            <w:tcW w:w="709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09813EE1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3E55F03E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01EE3E56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2BDA2B7B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537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6BC2D70A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</w:tr>
      <w:tr w:rsidR="00AC1D1A" w:rsidRPr="0007767F" w14:paraId="31DB2F05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0B3BB8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O0226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A2D60EA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Počet podporených materských škôl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9EBC00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433CB2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204762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Viac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0355C6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A25E78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B2F19D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07767F">
              <w:rPr>
                <w:bCs/>
                <w:strike/>
                <w:sz w:val="18"/>
                <w:szCs w:val="18"/>
              </w:rPr>
              <w:t>51</w:t>
            </w:r>
          </w:p>
          <w:p w14:paraId="48FF9FCE" w14:textId="77777777" w:rsidR="00AC1D1A" w:rsidRPr="0007767F" w:rsidDel="00967649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11A272F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-25,5%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2021FC8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0%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2E1656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BFB767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68FC4B21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Hodnota merateľného ukazovateľa sa mení z dôvodu nepresne nastavenej metodiky, ktorá zohľadňovala aj celkové náklady na dieťa, pri prepočte cieľovej hodnoty ukazovateľa.</w:t>
            </w:r>
          </w:p>
        </w:tc>
      </w:tr>
      <w:tr w:rsidR="00AC1D1A" w:rsidRPr="0007767F" w14:paraId="0D3A9604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0A79A3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O0227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8D45A84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Počet podporených základných škôl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5A163A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B79C91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A23C6F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Viac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9944B7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91F0ED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789DB7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07767F">
              <w:rPr>
                <w:bCs/>
                <w:strike/>
                <w:sz w:val="18"/>
                <w:szCs w:val="18"/>
              </w:rPr>
              <w:t>186</w:t>
            </w:r>
          </w:p>
          <w:p w14:paraId="4EB58AB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2597A5E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-65,6%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45C4B92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-10,09%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700016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641DBE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679D00F5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Hodnota merateľného ukazovateľa sa mení z dôvodu nepresne nastavenej metodiky, pri prepočte cieľovej hodnoty ukazovateľa.</w:t>
            </w:r>
          </w:p>
        </w:tc>
      </w:tr>
      <w:tr w:rsidR="00AC1D1A" w:rsidRPr="0007767F" w14:paraId="36079B74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B99D73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O0147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7E248EC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Počet podporených COVP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F146DC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DC5839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D55956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Viac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750E1E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4F6A31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4DBC38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07767F">
              <w:rPr>
                <w:bCs/>
                <w:strike/>
                <w:sz w:val="18"/>
                <w:szCs w:val="18"/>
              </w:rPr>
              <w:t>10</w:t>
            </w:r>
          </w:p>
          <w:p w14:paraId="3DEA17B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589DC93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-30%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383CF9C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-19,59%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646327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E0BA2E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3F763CCF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Hodnota merateľného ukazovateľa sa mení z dôvodu nepresne nastavenej metodiky, pri prepočte cieľovej hodnoty ukazovateľa.</w:t>
            </w:r>
          </w:p>
        </w:tc>
      </w:tr>
      <w:tr w:rsidR="00AC1D1A" w:rsidRPr="0007767F" w14:paraId="2735B59F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CE38B3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O0229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0603078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Počet podporených SOŠ, ŠH, SOP (nie COVP)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530389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5F8FB1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BC648B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Menej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0E0BC1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89CCB4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22FEFA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07767F">
              <w:rPr>
                <w:bCs/>
                <w:strike/>
                <w:sz w:val="18"/>
                <w:szCs w:val="18"/>
              </w:rPr>
              <w:t>178</w:t>
            </w:r>
          </w:p>
          <w:p w14:paraId="44091B07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2C5EBB1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-12,3%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493BB87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-14,42%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31FC08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42925E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</w:tcPr>
          <w:p w14:paraId="79A0C1BF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Hodnota merateľného ukazovateľa sa mení z dôvodu nepresne nastavenej metodiky, pri prepočte cieľovej hodnoty ukazovateľa.</w:t>
            </w:r>
          </w:p>
        </w:tc>
      </w:tr>
      <w:tr w:rsidR="00AC1D1A" w:rsidRPr="0007767F" w14:paraId="59538E9C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2856AB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O0148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35B6257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Počet vytvorených podnikateľských inkubátorov pri COVP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3D8937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69E6A1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657D13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Menej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202DA7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282ED4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3D4A60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07767F">
              <w:rPr>
                <w:bCs/>
                <w:strike/>
                <w:sz w:val="18"/>
                <w:szCs w:val="18"/>
              </w:rPr>
              <w:t>1</w:t>
            </w:r>
          </w:p>
          <w:p w14:paraId="0FF295C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07767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68693D2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-100%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285BC1A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-14,42%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322191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E2A2C67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</w:tcPr>
          <w:p w14:paraId="22F62E1B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Hodnota merateľného ukazovateľa sa mení z dôvodu nepresne nastavenej metodiky, absencie jednotne schválenej koncepcie, ktorá bude zohľadňovať potrebu, regionálne špecifiká, ako aj sektorové zameranie budúcej národnej siete inkubátorov vo všetkých oblastiach.</w:t>
            </w:r>
          </w:p>
        </w:tc>
      </w:tr>
      <w:tr w:rsidR="00AC1D1A" w:rsidRPr="0007767F" w14:paraId="340AB4CB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592D77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CO35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D61573D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Kapacita podporenej školskej infraštruktúry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A5C72A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osoba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7A6A8E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FA9E5D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Menej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3E3D0C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5CD7AC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6EBC9E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07767F">
              <w:rPr>
                <w:bCs/>
                <w:strike/>
                <w:sz w:val="18"/>
                <w:szCs w:val="18"/>
              </w:rPr>
              <w:t>270 929</w:t>
            </w:r>
          </w:p>
          <w:p w14:paraId="6EADAA2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257 370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1765E1C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-5%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3A9364F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-14,42%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394164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32708B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</w:tcPr>
          <w:p w14:paraId="2B854DE9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Hodnota merateľného ukazovateľa sa mení z dôvodu nepresne nastavenej metodiky, pri prepočte cieľovej hodnoty ukazovateľa</w:t>
            </w:r>
          </w:p>
        </w:tc>
      </w:tr>
      <w:tr w:rsidR="00AC1D1A" w:rsidRPr="0007767F" w14:paraId="6E55E139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9C69EB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CO35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3C3E3EA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Kapacita podporenej školskej infraštruktúry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D0B778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osoba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BF44E2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6661FA7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Viac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6D9379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636613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F3D42C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07767F">
              <w:rPr>
                <w:bCs/>
                <w:strike/>
                <w:sz w:val="18"/>
                <w:szCs w:val="18"/>
              </w:rPr>
              <w:t>34 481</w:t>
            </w:r>
          </w:p>
          <w:p w14:paraId="1C38333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32 119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3311E4A7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-6,8%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507DB76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-18,96%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1F2CBD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A8362A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</w:tcPr>
          <w:p w14:paraId="7D6D8A0C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Hodnota merateľného ukazovateľa sa mení z dôvodu nepresne nastavenej metodiky, pri prepočte cieľovej hodnoty ukazovateľa</w:t>
            </w:r>
          </w:p>
        </w:tc>
      </w:tr>
      <w:tr w:rsidR="00AC1D1A" w:rsidRPr="0007767F" w14:paraId="07FDC1E2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FAE331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O0253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8EA6B59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Počet renovovaných verejných budov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424EA2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737DC8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5149C6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Viac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2C2234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CD0CD7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167F4B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07767F">
              <w:rPr>
                <w:bCs/>
                <w:strike/>
                <w:sz w:val="18"/>
                <w:szCs w:val="18"/>
              </w:rPr>
              <w:t>57</w:t>
            </w:r>
          </w:p>
          <w:p w14:paraId="1C234B0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1101F06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-22,8%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1270ADB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-21,55%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7C4D02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471072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</w:tcPr>
          <w:p w14:paraId="1F2C77D4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Hodnota merateľného ukazovateľa sa mení z dôvodu nesprávneho odhadu vykonaného pri nastavení cieľovej hodnoty a v nadväznosti na stanovený implementačný mechanizmus.</w:t>
            </w:r>
          </w:p>
        </w:tc>
      </w:tr>
      <w:tr w:rsidR="00AC1D1A" w:rsidRPr="0007767F" w14:paraId="716EC813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D03A19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C0034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F5BEBCF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47253F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 xml:space="preserve">t </w:t>
            </w:r>
            <w:proofErr w:type="spellStart"/>
            <w:r w:rsidRPr="0007767F">
              <w:rPr>
                <w:bCs/>
                <w:sz w:val="18"/>
                <w:szCs w:val="18"/>
              </w:rPr>
              <w:t>ekviv</w:t>
            </w:r>
            <w:proofErr w:type="spellEnd"/>
            <w:r w:rsidRPr="0007767F">
              <w:rPr>
                <w:bCs/>
                <w:sz w:val="18"/>
                <w:szCs w:val="18"/>
              </w:rPr>
              <w:t>. CO2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10D116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D61D6B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Menej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D760D3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4E579F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2854FD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07767F">
              <w:rPr>
                <w:bCs/>
                <w:strike/>
                <w:sz w:val="18"/>
                <w:szCs w:val="18"/>
              </w:rPr>
              <w:t>6 370</w:t>
            </w:r>
          </w:p>
          <w:p w14:paraId="7F55247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4 850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006544D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-23,9%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480EFB4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-14,42%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1CB4A8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EF6326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</w:tcPr>
          <w:p w14:paraId="75F920DD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 pre IROP pri tvorbe programu nastavoval cieľové hodnoty ukazovateľa odhadom, keďže nastavený implementačný mechanizmus nestanovoval povinnosť pri každej intervencií realizovať aj prvky energetickej efektívnosti. Hodnota merateľného ukazovateľa sa mení aj z dôvodu nepriaznivého vývoja cien v stavebníctve.</w:t>
            </w:r>
          </w:p>
        </w:tc>
      </w:tr>
      <w:tr w:rsidR="00AC1D1A" w:rsidRPr="0007767F" w14:paraId="72DB0C28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1FE829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lastRenderedPageBreak/>
              <w:t>C0034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BE537F8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3A0FFC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 xml:space="preserve">t </w:t>
            </w:r>
            <w:proofErr w:type="spellStart"/>
            <w:r w:rsidRPr="0007767F">
              <w:rPr>
                <w:bCs/>
                <w:sz w:val="18"/>
                <w:szCs w:val="18"/>
              </w:rPr>
              <w:t>ekviv</w:t>
            </w:r>
            <w:proofErr w:type="spellEnd"/>
            <w:r w:rsidRPr="0007767F">
              <w:rPr>
                <w:bCs/>
                <w:sz w:val="18"/>
                <w:szCs w:val="18"/>
              </w:rPr>
              <w:t>. CO2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280871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7CAB65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Viac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6C1608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39FD9E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6765C3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07767F">
              <w:rPr>
                <w:bCs/>
                <w:strike/>
                <w:sz w:val="18"/>
                <w:szCs w:val="18"/>
              </w:rPr>
              <w:t>1 161</w:t>
            </w:r>
          </w:p>
          <w:p w14:paraId="05BD5F4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485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4CFD462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-58,2%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2B79A08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-21,55%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40F809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1C58AE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</w:tcPr>
          <w:p w14:paraId="626FB762" w14:textId="77777777" w:rsidR="00AC1D1A" w:rsidRPr="0007767F" w:rsidRDefault="00AC1D1A" w:rsidP="00EE43E7">
            <w:pPr>
              <w:spacing w:before="40" w:after="40" w:line="20" w:lineRule="atLeast"/>
              <w:jc w:val="both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 pre IROP pri tvorbe programu nastavoval cieľové hodnoty ukazovateľa odhadom, keďže nastavený implementačný mechanizmus nestanovoval povinnosť pri každej intervencií realizovať aj prvky energetickej efektívnosti. Hodnota merateľného ukazovateľa sa mení aj z dôvodu nepriaznivého vývoja cien v stavebníctve.</w:t>
            </w:r>
          </w:p>
        </w:tc>
      </w:tr>
    </w:tbl>
    <w:p w14:paraId="586E4767" w14:textId="77777777" w:rsidR="00AC1D1A" w:rsidRPr="0007767F" w:rsidRDefault="00AC1D1A" w:rsidP="00AC1D1A">
      <w:pPr>
        <w:spacing w:before="240" w:after="80" w:line="245" w:lineRule="auto"/>
        <w:jc w:val="both"/>
        <w:rPr>
          <w:b/>
          <w:sz w:val="18"/>
          <w:szCs w:val="18"/>
        </w:rPr>
      </w:pPr>
    </w:p>
    <w:p w14:paraId="19B6116A" w14:textId="77777777" w:rsidR="00AC1D1A" w:rsidRPr="0007767F" w:rsidRDefault="00AC1D1A" w:rsidP="00AC1D1A">
      <w:pPr>
        <w:spacing w:before="80" w:after="80" w:line="245" w:lineRule="auto"/>
        <w:jc w:val="both"/>
        <w:rPr>
          <w:b/>
          <w:sz w:val="18"/>
          <w:szCs w:val="18"/>
        </w:rPr>
      </w:pPr>
      <w:r w:rsidRPr="0007767F">
        <w:rPr>
          <w:b/>
          <w:sz w:val="18"/>
          <w:szCs w:val="18"/>
        </w:rPr>
        <w:t>Tabuľka č. 5. Prehľad vybraných výsledkových ukazovateľov pre špecifický cieľ 3.1, pri ktorých dochádza k zmene cieľových hodnôt</w:t>
      </w:r>
    </w:p>
    <w:tbl>
      <w:tblPr>
        <w:tblW w:w="15158" w:type="dxa"/>
        <w:tbl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H w:val="single" w:sz="8" w:space="0" w:color="4E67C8"/>
          <w:insideV w:val="single" w:sz="8" w:space="0" w:color="4E67C8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1843"/>
        <w:gridCol w:w="850"/>
        <w:gridCol w:w="1134"/>
        <w:gridCol w:w="1178"/>
        <w:gridCol w:w="1232"/>
        <w:gridCol w:w="1276"/>
        <w:gridCol w:w="1083"/>
        <w:gridCol w:w="1134"/>
        <w:gridCol w:w="993"/>
        <w:gridCol w:w="992"/>
        <w:gridCol w:w="2744"/>
      </w:tblGrid>
      <w:tr w:rsidR="00AC1D1A" w:rsidRPr="0007767F" w14:paraId="24A3474C" w14:textId="77777777" w:rsidTr="00EE43E7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8C6BE8F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843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B8976D8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Ukazovateľ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3A14942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134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D844E81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Kategória regiónu</w:t>
            </w:r>
          </w:p>
        </w:tc>
        <w:tc>
          <w:tcPr>
            <w:tcW w:w="1178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7C4896D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Východisková hodnota</w:t>
            </w:r>
          </w:p>
        </w:tc>
        <w:tc>
          <w:tcPr>
            <w:tcW w:w="1232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9D8D6EA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Východiskový rok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EB9B150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Cieľová hodnota (2023)</w:t>
            </w:r>
          </w:p>
        </w:tc>
        <w:tc>
          <w:tcPr>
            <w:tcW w:w="1083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4D42FE3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% zmena ukazovateľa</w:t>
            </w:r>
          </w:p>
        </w:tc>
        <w:tc>
          <w:tcPr>
            <w:tcW w:w="1134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B3E11E7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% zmena alokácie</w:t>
            </w:r>
          </w:p>
        </w:tc>
        <w:tc>
          <w:tcPr>
            <w:tcW w:w="993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vAlign w:val="center"/>
          </w:tcPr>
          <w:p w14:paraId="674176E6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Zdroj dát</w:t>
            </w:r>
          </w:p>
        </w:tc>
        <w:tc>
          <w:tcPr>
            <w:tcW w:w="992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vAlign w:val="center"/>
          </w:tcPr>
          <w:p w14:paraId="557B474B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Frekvencia podávania správ</w:t>
            </w:r>
          </w:p>
        </w:tc>
        <w:tc>
          <w:tcPr>
            <w:tcW w:w="2744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vAlign w:val="center"/>
          </w:tcPr>
          <w:p w14:paraId="756AFE1B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Zdôvodnenie zmeny cieľovej hodnoty ukazovateľa</w:t>
            </w:r>
          </w:p>
        </w:tc>
      </w:tr>
      <w:tr w:rsidR="00AC1D1A" w:rsidRPr="0007767F" w14:paraId="2277EBD6" w14:textId="77777777" w:rsidTr="00EE43E7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6F30142" w14:textId="77777777" w:rsidR="00AC1D1A" w:rsidRPr="0007767F" w:rsidRDefault="00AC1D1A" w:rsidP="00EE43E7">
            <w:pPr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R0189</w:t>
            </w:r>
          </w:p>
        </w:tc>
        <w:tc>
          <w:tcPr>
            <w:tcW w:w="1843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538401DD" w14:textId="77777777" w:rsidR="00AC1D1A" w:rsidRPr="0007767F" w:rsidRDefault="00AC1D1A" w:rsidP="00EE43E7">
            <w:pPr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Celkový počet pracovných miest v kultúrnom a kreatívnom priemysle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0A4860AB" w14:textId="77777777" w:rsidR="00AC1D1A" w:rsidRPr="0007767F" w:rsidRDefault="00AC1D1A" w:rsidP="00EE43E7">
            <w:pPr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Počet</w:t>
            </w:r>
          </w:p>
        </w:tc>
        <w:tc>
          <w:tcPr>
            <w:tcW w:w="1134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15B12A62" w14:textId="77777777" w:rsidR="00AC1D1A" w:rsidRPr="0007767F" w:rsidRDefault="00AC1D1A" w:rsidP="00EE43E7">
            <w:pPr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Menej rozvinutý región</w:t>
            </w:r>
          </w:p>
        </w:tc>
        <w:tc>
          <w:tcPr>
            <w:tcW w:w="117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48B3B629" w14:textId="77777777" w:rsidR="00AC1D1A" w:rsidRPr="0007767F" w:rsidRDefault="00AC1D1A" w:rsidP="00EE43E7">
            <w:pPr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33 800</w:t>
            </w:r>
          </w:p>
        </w:tc>
        <w:tc>
          <w:tcPr>
            <w:tcW w:w="1232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31602474" w14:textId="77777777" w:rsidR="00AC1D1A" w:rsidRPr="0007767F" w:rsidRDefault="00AC1D1A" w:rsidP="00EE43E7">
            <w:pPr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0633CA6" w14:textId="77777777" w:rsidR="00AC1D1A" w:rsidRPr="0007767F" w:rsidRDefault="00AC1D1A" w:rsidP="00EE43E7">
            <w:pPr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34 254</w:t>
            </w:r>
          </w:p>
          <w:p w14:paraId="0A1A833A" w14:textId="77777777" w:rsidR="00AC1D1A" w:rsidRPr="0007767F" w:rsidRDefault="00AC1D1A" w:rsidP="00EE43E7">
            <w:pPr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31 411</w:t>
            </w:r>
          </w:p>
        </w:tc>
        <w:tc>
          <w:tcPr>
            <w:tcW w:w="1083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628F028" w14:textId="77777777" w:rsidR="00AC1D1A" w:rsidRPr="0007767F" w:rsidRDefault="00AC1D1A" w:rsidP="00EE43E7">
            <w:pPr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- 8,3 %</w:t>
            </w:r>
          </w:p>
        </w:tc>
        <w:tc>
          <w:tcPr>
            <w:tcW w:w="1134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B920F30" w14:textId="77777777" w:rsidR="00AC1D1A" w:rsidRPr="0007767F" w:rsidRDefault="00AC1D1A" w:rsidP="00EE43E7">
            <w:pPr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17,41 %</w:t>
            </w:r>
          </w:p>
        </w:tc>
        <w:tc>
          <w:tcPr>
            <w:tcW w:w="993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</w:tcPr>
          <w:p w14:paraId="0D5D8A6B" w14:textId="77777777" w:rsidR="00AC1D1A" w:rsidRPr="0007767F" w:rsidRDefault="00AC1D1A" w:rsidP="00EE43E7">
            <w:pPr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Štatistické zisťovanie</w:t>
            </w:r>
          </w:p>
        </w:tc>
        <w:tc>
          <w:tcPr>
            <w:tcW w:w="992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</w:tcPr>
          <w:p w14:paraId="5893E683" w14:textId="77777777" w:rsidR="00AC1D1A" w:rsidRPr="0007767F" w:rsidRDefault="00AC1D1A" w:rsidP="00EE43E7">
            <w:pPr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2744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</w:tcPr>
          <w:p w14:paraId="3CFF1FE8" w14:textId="77777777" w:rsidR="00AC1D1A" w:rsidRPr="0007767F" w:rsidRDefault="00AC1D1A" w:rsidP="00EE43E7">
            <w:pPr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Hodnota je znížená z dôvodu zníženia celkovej alokácie pre MRR.</w:t>
            </w:r>
          </w:p>
        </w:tc>
      </w:tr>
    </w:tbl>
    <w:p w14:paraId="6D9F4170" w14:textId="77777777" w:rsidR="00AC1D1A" w:rsidRPr="0007767F" w:rsidRDefault="00AC1D1A" w:rsidP="00AC1D1A">
      <w:pPr>
        <w:spacing w:before="80" w:after="80" w:line="245" w:lineRule="auto"/>
        <w:jc w:val="both"/>
        <w:rPr>
          <w:b/>
          <w:sz w:val="18"/>
          <w:szCs w:val="18"/>
        </w:rPr>
      </w:pPr>
    </w:p>
    <w:p w14:paraId="119E5795" w14:textId="77777777" w:rsidR="00AC1D1A" w:rsidRPr="0007767F" w:rsidRDefault="00AC1D1A" w:rsidP="00AC1D1A">
      <w:pPr>
        <w:spacing w:before="80" w:after="80" w:line="245" w:lineRule="auto"/>
        <w:jc w:val="both"/>
        <w:rPr>
          <w:b/>
          <w:sz w:val="18"/>
          <w:szCs w:val="18"/>
        </w:rPr>
      </w:pPr>
      <w:r w:rsidRPr="0007767F">
        <w:rPr>
          <w:b/>
          <w:sz w:val="18"/>
          <w:szCs w:val="18"/>
        </w:rPr>
        <w:t>Tabuľka č. 6. Prehľad vybraných výstupových ukazovateľov investičnej priority 3.1, pri ktorých dochádza k zmene a doplneniu cieľových hodnôt</w:t>
      </w:r>
    </w:p>
    <w:tbl>
      <w:tblPr>
        <w:tblW w:w="15299" w:type="dxa"/>
        <w:tbl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H w:val="single" w:sz="8" w:space="0" w:color="4E67C8"/>
          <w:insideV w:val="single" w:sz="8" w:space="0" w:color="4E67C8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1910"/>
        <w:gridCol w:w="1209"/>
        <w:gridCol w:w="708"/>
        <w:gridCol w:w="1275"/>
        <w:gridCol w:w="708"/>
        <w:gridCol w:w="426"/>
        <w:gridCol w:w="851"/>
        <w:gridCol w:w="784"/>
        <w:gridCol w:w="775"/>
        <w:gridCol w:w="567"/>
        <w:gridCol w:w="850"/>
        <w:gridCol w:w="4537"/>
      </w:tblGrid>
      <w:tr w:rsidR="0007767F" w:rsidRPr="0007767F" w14:paraId="65DCAB91" w14:textId="77777777" w:rsidTr="009161AF">
        <w:trPr>
          <w:trHeight w:val="431"/>
        </w:trPr>
        <w:tc>
          <w:tcPr>
            <w:tcW w:w="699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292A635" w14:textId="77777777" w:rsidR="0007767F" w:rsidRPr="0007767F" w:rsidRDefault="0007767F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910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EFEDFC6" w14:textId="77777777" w:rsidR="0007767F" w:rsidRPr="0007767F" w:rsidRDefault="0007767F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Ukazovateľ</w:t>
            </w:r>
          </w:p>
        </w:tc>
        <w:tc>
          <w:tcPr>
            <w:tcW w:w="1209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2DB8254" w14:textId="77777777" w:rsidR="0007767F" w:rsidRPr="0007767F" w:rsidRDefault="0007767F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708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A23A15D" w14:textId="77777777" w:rsidR="0007767F" w:rsidRPr="0007767F" w:rsidRDefault="0007767F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Fond</w:t>
            </w:r>
          </w:p>
        </w:tc>
        <w:tc>
          <w:tcPr>
            <w:tcW w:w="1275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3F24640" w14:textId="77777777" w:rsidR="0007767F" w:rsidRPr="0007767F" w:rsidRDefault="0007767F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Kategória regiónu</w:t>
            </w:r>
          </w:p>
        </w:tc>
        <w:tc>
          <w:tcPr>
            <w:tcW w:w="1985" w:type="dxa"/>
            <w:gridSpan w:val="3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07DDA72" w14:textId="77777777" w:rsidR="0007767F" w:rsidRPr="0007767F" w:rsidRDefault="0007767F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Cieľová hodnota (2023)</w:t>
            </w:r>
          </w:p>
        </w:tc>
        <w:tc>
          <w:tcPr>
            <w:tcW w:w="784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</w:tcPr>
          <w:p w14:paraId="17320F0C" w14:textId="77777777" w:rsidR="0007767F" w:rsidRPr="0007767F" w:rsidRDefault="0007767F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% zmena ukazovateľa</w:t>
            </w:r>
            <w:r w:rsidRPr="0007767F" w:rsidDel="00D1774B">
              <w:rPr>
                <w:rStyle w:val="Odkaznakomentr"/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</w:tcPr>
          <w:p w14:paraId="76780BB5" w14:textId="77777777" w:rsidR="0007767F" w:rsidRPr="0007767F" w:rsidRDefault="0007767F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% zmena alokácie</w:t>
            </w:r>
          </w:p>
        </w:tc>
        <w:tc>
          <w:tcPr>
            <w:tcW w:w="567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666227A" w14:textId="77777777" w:rsidR="0007767F" w:rsidRPr="0007767F" w:rsidRDefault="0007767F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Zdroj dát</w:t>
            </w:r>
          </w:p>
        </w:tc>
        <w:tc>
          <w:tcPr>
            <w:tcW w:w="850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vAlign w:val="center"/>
          </w:tcPr>
          <w:p w14:paraId="474588BF" w14:textId="77777777" w:rsidR="0007767F" w:rsidRPr="0007767F" w:rsidRDefault="0007767F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Frekvencia podávania správ</w:t>
            </w:r>
          </w:p>
        </w:tc>
        <w:tc>
          <w:tcPr>
            <w:tcW w:w="4537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vAlign w:val="center"/>
          </w:tcPr>
          <w:p w14:paraId="519BECEA" w14:textId="77777777" w:rsidR="0007767F" w:rsidRPr="0007767F" w:rsidRDefault="0007767F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Zdôvodnenie zmeny cieľovej hodnoty ukazovateľa</w:t>
            </w:r>
          </w:p>
        </w:tc>
      </w:tr>
      <w:tr w:rsidR="0007767F" w:rsidRPr="0007767F" w14:paraId="02C8FC14" w14:textId="77777777" w:rsidTr="009161AF">
        <w:trPr>
          <w:trHeight w:val="397"/>
        </w:trPr>
        <w:tc>
          <w:tcPr>
            <w:tcW w:w="699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5DAEBC5B" w14:textId="77777777" w:rsidR="0007767F" w:rsidRPr="0007767F" w:rsidRDefault="0007767F" w:rsidP="00EE43E7">
            <w:pPr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137CD15E" w14:textId="77777777" w:rsidR="0007767F" w:rsidRPr="0007767F" w:rsidRDefault="0007767F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3678C29D" w14:textId="77777777" w:rsidR="0007767F" w:rsidRPr="0007767F" w:rsidRDefault="0007767F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51CED51B" w14:textId="77777777" w:rsidR="0007767F" w:rsidRPr="0007767F" w:rsidRDefault="0007767F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06D23F02" w14:textId="77777777" w:rsidR="0007767F" w:rsidRPr="0007767F" w:rsidRDefault="0007767F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AC7ED2B" w14:textId="77777777" w:rsidR="0007767F" w:rsidRPr="0007767F" w:rsidRDefault="0007767F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2E2625C" w14:textId="77777777" w:rsidR="0007767F" w:rsidRPr="0007767F" w:rsidRDefault="0007767F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Ž</w:t>
            </w:r>
          </w:p>
        </w:tc>
        <w:tc>
          <w:tcPr>
            <w:tcW w:w="851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1E45828" w14:textId="77777777" w:rsidR="0007767F" w:rsidRPr="0007767F" w:rsidRDefault="0007767F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M+Ž</w:t>
            </w:r>
          </w:p>
        </w:tc>
        <w:tc>
          <w:tcPr>
            <w:tcW w:w="784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6016F6BB" w14:textId="77777777" w:rsidR="0007767F" w:rsidRPr="0007767F" w:rsidRDefault="0007767F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6C045C0B" w14:textId="77777777" w:rsidR="0007767F" w:rsidRPr="0007767F" w:rsidRDefault="0007767F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7E4BF25A" w14:textId="77777777" w:rsidR="0007767F" w:rsidRPr="0007767F" w:rsidRDefault="0007767F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429D5750" w14:textId="77777777" w:rsidR="0007767F" w:rsidRPr="0007767F" w:rsidRDefault="0007767F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537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292B7234" w14:textId="77777777" w:rsidR="0007767F" w:rsidRPr="0007767F" w:rsidRDefault="0007767F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</w:tr>
      <w:tr w:rsidR="00AC1D1A" w:rsidRPr="0007767F" w14:paraId="1C36CC73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37B2DCE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O0248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57992DED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Počet účastníkov inkubačnej a akceleračnej schémy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2A83B1D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194A6FA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57AA3EB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Menej rozvinutý región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936008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42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7BE038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F9ACB8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447</w:t>
            </w:r>
          </w:p>
          <w:p w14:paraId="707FDB2D" w14:textId="77777777" w:rsidR="00AC1D1A" w:rsidRPr="0007767F" w:rsidDel="00967649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410</w:t>
            </w:r>
          </w:p>
        </w:tc>
        <w:tc>
          <w:tcPr>
            <w:tcW w:w="784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7408506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- 8,3 %</w:t>
            </w:r>
          </w:p>
        </w:tc>
        <w:tc>
          <w:tcPr>
            <w:tcW w:w="77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7E01270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17,41 %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D44216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9C118E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4FE4EBCC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Hodnota je znížená z dôvodu zníženia celkovej alokácie pre MRR.</w:t>
            </w:r>
          </w:p>
        </w:tc>
      </w:tr>
      <w:tr w:rsidR="00AC1D1A" w:rsidRPr="0007767F" w14:paraId="7AE51940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D4E1B5C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CO08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387C927B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Nárast zamestnanosti v podporených podnikoch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1E0C4E7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Ekvivalent plných pracovných úväzkov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592B775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738DEFF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Menej rozvinutý región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73C9D4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42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B6A2A5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2E665D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672</w:t>
            </w:r>
          </w:p>
          <w:p w14:paraId="2BDE42C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616</w:t>
            </w:r>
          </w:p>
        </w:tc>
        <w:tc>
          <w:tcPr>
            <w:tcW w:w="784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08B472F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-8,3 %</w:t>
            </w:r>
          </w:p>
        </w:tc>
        <w:tc>
          <w:tcPr>
            <w:tcW w:w="77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0DAAF05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17,41 %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1D3943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CEB0FC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40C90582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Hodnota je znížená z dôvodu zníženia celkovej alokácie pre MRR.</w:t>
            </w:r>
          </w:p>
        </w:tc>
      </w:tr>
      <w:tr w:rsidR="00AC1D1A" w:rsidRPr="0007767F" w14:paraId="44CFF402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206A1F6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O0153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138041FF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Počet aktivít na podporu dopytu 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3A708F2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0B2FC75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43004DF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Menej rozvinutý región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DBB0CD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42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BE94CD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0364DF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149</w:t>
            </w:r>
          </w:p>
          <w:p w14:paraId="0E5ADA5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136</w:t>
            </w:r>
          </w:p>
        </w:tc>
        <w:tc>
          <w:tcPr>
            <w:tcW w:w="784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4E77505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-8,7 %</w:t>
            </w:r>
          </w:p>
        </w:tc>
        <w:tc>
          <w:tcPr>
            <w:tcW w:w="77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5251E26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17,41 %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A68AB7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C85F63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0A42EECD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Hodnota je znížená z dôvodu zníženia celkovej alokácie pre MRR.</w:t>
            </w:r>
          </w:p>
        </w:tc>
      </w:tr>
      <w:tr w:rsidR="00AC1D1A" w:rsidRPr="0007767F" w14:paraId="1021788B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8D0B9C7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CO01 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7A740B50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Počet podnikov, ktorým sa poskytuje podpora 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50E2FE5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podniky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2F450AD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06BD471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Menej rozvinutý región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65C788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42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4877CC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CC998B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169</w:t>
            </w:r>
          </w:p>
          <w:p w14:paraId="7CF4321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155</w:t>
            </w:r>
          </w:p>
        </w:tc>
        <w:tc>
          <w:tcPr>
            <w:tcW w:w="784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3F3384F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-8,3 %</w:t>
            </w:r>
          </w:p>
        </w:tc>
        <w:tc>
          <w:tcPr>
            <w:tcW w:w="77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36819A87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17,41 %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51204D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F51414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</w:tcPr>
          <w:p w14:paraId="2B41A346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Hodnota je znížená z dôvodu zníženia celkovej alokácie pre MRR.</w:t>
            </w:r>
          </w:p>
        </w:tc>
      </w:tr>
      <w:tr w:rsidR="00AC1D1A" w:rsidRPr="0007767F" w14:paraId="75A4AFE4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F1A243D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CO02 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58ED3DC2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Počet podnikov, ktoré </w:t>
            </w:r>
            <w:r w:rsidRPr="0007767F">
              <w:rPr>
                <w:sz w:val="18"/>
                <w:szCs w:val="18"/>
              </w:rPr>
              <w:lastRenderedPageBreak/>
              <w:t xml:space="preserve">dostávajú granty 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2067103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lastRenderedPageBreak/>
              <w:t>podniky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2CE61EE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133BF5E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Menej rozvinutý </w:t>
            </w:r>
            <w:r w:rsidRPr="0007767F">
              <w:rPr>
                <w:sz w:val="18"/>
                <w:szCs w:val="18"/>
              </w:rPr>
              <w:lastRenderedPageBreak/>
              <w:t>región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E55A06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lastRenderedPageBreak/>
              <w:t>N/A</w:t>
            </w:r>
          </w:p>
        </w:tc>
        <w:tc>
          <w:tcPr>
            <w:tcW w:w="42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5F717B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356676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168</w:t>
            </w:r>
          </w:p>
          <w:p w14:paraId="04CAC287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lastRenderedPageBreak/>
              <w:t>154</w:t>
            </w:r>
          </w:p>
        </w:tc>
        <w:tc>
          <w:tcPr>
            <w:tcW w:w="784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7195672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lastRenderedPageBreak/>
              <w:t>-8,3 %</w:t>
            </w:r>
          </w:p>
        </w:tc>
        <w:tc>
          <w:tcPr>
            <w:tcW w:w="77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0BA3CA5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17,41 %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5955C4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E018A8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</w:tcPr>
          <w:p w14:paraId="4C2D01A3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Hodnota je znížená z dôvodu zníženia celkovej </w:t>
            </w:r>
            <w:r w:rsidRPr="0007767F">
              <w:rPr>
                <w:sz w:val="18"/>
                <w:szCs w:val="18"/>
              </w:rPr>
              <w:lastRenderedPageBreak/>
              <w:t>alokácie pre MRR.</w:t>
            </w:r>
          </w:p>
        </w:tc>
      </w:tr>
      <w:tr w:rsidR="00AC1D1A" w:rsidRPr="0007767F" w14:paraId="2BB727FF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9FCAA53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lastRenderedPageBreak/>
              <w:t xml:space="preserve">CO05 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7D1F0C96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Počet podporených nových podnikov 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2B32DFE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podniky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59C4CC9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6DE928E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Menej rozvinutý región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4D3D9C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42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E574EE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67A23E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67</w:t>
            </w:r>
          </w:p>
          <w:p w14:paraId="36BFE25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61</w:t>
            </w:r>
          </w:p>
        </w:tc>
        <w:tc>
          <w:tcPr>
            <w:tcW w:w="784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7A5A9E0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-8,9 %</w:t>
            </w:r>
          </w:p>
        </w:tc>
        <w:tc>
          <w:tcPr>
            <w:tcW w:w="77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016E94B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17,41 %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A4C26A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6734C9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304D976E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Hodnota je znížená z dôvodu zníženia celkovej alokácie pre MRR.</w:t>
            </w:r>
          </w:p>
        </w:tc>
      </w:tr>
      <w:tr w:rsidR="00AC1D1A" w:rsidRPr="0007767F" w14:paraId="4EF284CC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C863958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O0253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34529CAE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Počet renovovaných verejných budov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605187C7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32D2C73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5B30F93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Menej rozvinutý región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0D6BA2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42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8B15DD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768CC0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5</w:t>
            </w:r>
          </w:p>
          <w:p w14:paraId="6A6726B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1244367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-20 %</w:t>
            </w:r>
          </w:p>
        </w:tc>
        <w:tc>
          <w:tcPr>
            <w:tcW w:w="77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5DE9FE6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17,41 %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4D1450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B5108D0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0ECBD820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Hodnota MU sa mení z dôvodu logického nesúladu s MU O0151, kde je uvedené, že budú vybudované 4 kreatívne centrá. </w:t>
            </w:r>
          </w:p>
          <w:p w14:paraId="3D2EFED2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V rámci PO3 sú kreatívne centrá jediné, ktoré sa realizujú vo verejných budovách, preto musia byť tieto dva ukazovatele v logickom súlade a s identickými cieľovými hodnotami.</w:t>
            </w:r>
          </w:p>
        </w:tc>
      </w:tr>
      <w:tr w:rsidR="00AC1D1A" w:rsidRPr="0007767F" w14:paraId="100838C0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8DD5D07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O0253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6F46A3FE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Počet renovovaných verejných budov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040E27E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2E1EBB97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6C0F596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Viac rozvinutý región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3E6DF67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42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B15316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7163FF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2</w:t>
            </w:r>
          </w:p>
          <w:p w14:paraId="1BA011D7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66D9204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-50 %</w:t>
            </w:r>
          </w:p>
        </w:tc>
        <w:tc>
          <w:tcPr>
            <w:tcW w:w="77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32B8F07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0 %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BEE759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622636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704BFA6C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Hodnota MU sa mení z dôvodu logického nesúladu s MU O0151, kde je uvedené, že bude vybudované 1 kreatívne centrum. </w:t>
            </w:r>
          </w:p>
          <w:p w14:paraId="2DD2EE2E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V rámci PO3 sú kreatívne centrá jediné, ktoré sa realizujú vo verejných budovách, preto musia byť tieto dva ukazovatele v logickom súlade a s identickými cieľovými hodnotami.</w:t>
            </w:r>
          </w:p>
        </w:tc>
      </w:tr>
      <w:tr w:rsidR="00AC1D1A" w:rsidRPr="0007767F" w14:paraId="38137F4C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675CFA7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CO039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10AC1276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Mestský rozvoj: Postavené alebo zrenovované verejné alebo komerčné budovy v mestských oblastiach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344CF5B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</w:t>
            </w:r>
            <w:r w:rsidRPr="0007767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077B0D7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16C0CA4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Menej rozvinutý región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D1DC2A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42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9C1D3A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BE20DC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7 464</w:t>
            </w:r>
          </w:p>
          <w:p w14:paraId="4A37703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6 844</w:t>
            </w:r>
          </w:p>
        </w:tc>
        <w:tc>
          <w:tcPr>
            <w:tcW w:w="784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4BD907E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-8,3 %</w:t>
            </w:r>
          </w:p>
        </w:tc>
        <w:tc>
          <w:tcPr>
            <w:tcW w:w="77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6010466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17,41 %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B69234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B7B101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Align w:val="center"/>
          </w:tcPr>
          <w:p w14:paraId="7B243BB5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Hodnota merateľného ukazovateľa sa mení z dôvodu nesprávneho odhadu vykonaného pri nastavení cieľovej hodnoty.</w:t>
            </w:r>
          </w:p>
        </w:tc>
      </w:tr>
    </w:tbl>
    <w:p w14:paraId="380EF8D5" w14:textId="77777777" w:rsidR="00AC1D1A" w:rsidRPr="0007767F" w:rsidRDefault="00AC1D1A" w:rsidP="00AC1D1A">
      <w:pPr>
        <w:spacing w:before="240" w:after="80" w:line="245" w:lineRule="auto"/>
        <w:jc w:val="both"/>
        <w:rPr>
          <w:b/>
          <w:sz w:val="18"/>
          <w:szCs w:val="18"/>
        </w:rPr>
      </w:pPr>
    </w:p>
    <w:p w14:paraId="316CC7CA" w14:textId="77777777" w:rsidR="00AC1D1A" w:rsidRPr="0007767F" w:rsidRDefault="00AC1D1A" w:rsidP="00AC1D1A">
      <w:pPr>
        <w:spacing w:before="240" w:after="80" w:line="245" w:lineRule="auto"/>
        <w:jc w:val="both"/>
        <w:rPr>
          <w:b/>
          <w:sz w:val="18"/>
          <w:szCs w:val="18"/>
        </w:rPr>
      </w:pPr>
      <w:r w:rsidRPr="0007767F">
        <w:rPr>
          <w:b/>
          <w:sz w:val="18"/>
          <w:szCs w:val="18"/>
        </w:rPr>
        <w:t>Tabuľka č. 7. Prehľad vybraných výstupových ukazovateľov investičnej priority 4.1, pri ktorých dochádza k zmene a doplneniu cieľových hodnôt</w:t>
      </w:r>
    </w:p>
    <w:tbl>
      <w:tblPr>
        <w:tblW w:w="15299" w:type="dxa"/>
        <w:tbl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H w:val="single" w:sz="8" w:space="0" w:color="4E67C8"/>
          <w:insideV w:val="single" w:sz="8" w:space="0" w:color="4E67C8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1910"/>
        <w:gridCol w:w="1209"/>
        <w:gridCol w:w="708"/>
        <w:gridCol w:w="1276"/>
        <w:gridCol w:w="567"/>
        <w:gridCol w:w="567"/>
        <w:gridCol w:w="850"/>
        <w:gridCol w:w="709"/>
        <w:gridCol w:w="850"/>
        <w:gridCol w:w="567"/>
        <w:gridCol w:w="850"/>
        <w:gridCol w:w="4537"/>
      </w:tblGrid>
      <w:tr w:rsidR="00AC1D1A" w:rsidRPr="0007767F" w14:paraId="038B86DB" w14:textId="77777777" w:rsidTr="009161AF">
        <w:trPr>
          <w:trHeight w:val="431"/>
        </w:trPr>
        <w:tc>
          <w:tcPr>
            <w:tcW w:w="699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5396401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910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5BE491C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Ukazovateľ</w:t>
            </w:r>
          </w:p>
        </w:tc>
        <w:tc>
          <w:tcPr>
            <w:tcW w:w="1209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007B3B4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708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285D608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Fond</w:t>
            </w:r>
          </w:p>
        </w:tc>
        <w:tc>
          <w:tcPr>
            <w:tcW w:w="1276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370E259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Kategória regiónu</w:t>
            </w:r>
          </w:p>
        </w:tc>
        <w:tc>
          <w:tcPr>
            <w:tcW w:w="1984" w:type="dxa"/>
            <w:gridSpan w:val="3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CA84A52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Cieľová hodnota (2023)</w:t>
            </w:r>
          </w:p>
        </w:tc>
        <w:tc>
          <w:tcPr>
            <w:tcW w:w="709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vAlign w:val="center"/>
          </w:tcPr>
          <w:p w14:paraId="3F380B66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% zmena ukazovateľa</w:t>
            </w:r>
          </w:p>
        </w:tc>
        <w:tc>
          <w:tcPr>
            <w:tcW w:w="850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vAlign w:val="center"/>
          </w:tcPr>
          <w:p w14:paraId="641A1933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% zmena alokácie</w:t>
            </w:r>
          </w:p>
        </w:tc>
        <w:tc>
          <w:tcPr>
            <w:tcW w:w="567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845AEDD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Zdroj dát</w:t>
            </w:r>
          </w:p>
        </w:tc>
        <w:tc>
          <w:tcPr>
            <w:tcW w:w="850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vAlign w:val="center"/>
          </w:tcPr>
          <w:p w14:paraId="04523F5D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Frekvencia podávania správ</w:t>
            </w:r>
          </w:p>
        </w:tc>
        <w:tc>
          <w:tcPr>
            <w:tcW w:w="4537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vAlign w:val="center"/>
          </w:tcPr>
          <w:p w14:paraId="6255758D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Zdôvodnenie zmeny cieľovej hodnoty ukazovateľa</w:t>
            </w:r>
          </w:p>
        </w:tc>
      </w:tr>
      <w:tr w:rsidR="00AC1D1A" w:rsidRPr="0007767F" w14:paraId="6A3BF41B" w14:textId="77777777" w:rsidTr="009161AF">
        <w:trPr>
          <w:trHeight w:val="397"/>
        </w:trPr>
        <w:tc>
          <w:tcPr>
            <w:tcW w:w="699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1AC130DD" w14:textId="77777777" w:rsidR="00AC1D1A" w:rsidRPr="0007767F" w:rsidRDefault="00AC1D1A" w:rsidP="00EE43E7">
            <w:pPr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007C55B2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3CF0451D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68982CE5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30FF3DCF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AF30843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890D8EA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Ž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7DE7C66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M+Ž</w:t>
            </w:r>
          </w:p>
        </w:tc>
        <w:tc>
          <w:tcPr>
            <w:tcW w:w="709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4D572467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231C6AF9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144086FC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0A8731B0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537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7F89F2FE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</w:tr>
      <w:tr w:rsidR="00AC1D1A" w:rsidRPr="0007767F" w14:paraId="2F9A6B8C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9109723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C031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2C82DFB3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Počet domácností zaradených do zlepšenej energetickej triedy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3CCA28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C840057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F0DE7A3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Menej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37C56D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41C756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2D107ED" w14:textId="77777777" w:rsidR="00AC1D1A" w:rsidRPr="0007767F" w:rsidRDefault="00AC1D1A" w:rsidP="00EE43E7">
            <w:pPr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11 748</w:t>
            </w:r>
          </w:p>
          <w:p w14:paraId="1829CD37" w14:textId="77777777" w:rsidR="00AC1D1A" w:rsidRPr="0007767F" w:rsidDel="00967649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13 767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16B280B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+15%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590095C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+15%</w:t>
            </w:r>
          </w:p>
        </w:tc>
        <w:tc>
          <w:tcPr>
            <w:tcW w:w="567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67E5D4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Štatistický úrad SR a ŠFRB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8CCC41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Merge w:val="restart"/>
            <w:vAlign w:val="center"/>
          </w:tcPr>
          <w:p w14:paraId="228C27D0" w14:textId="77777777" w:rsidR="00AC1D1A" w:rsidRPr="0007767F" w:rsidRDefault="00AC1D1A" w:rsidP="00EE43E7">
            <w:pPr>
              <w:jc w:val="both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 xml:space="preserve">Hodnota merateľných ukazovateľov sa upravuje v nadväznosti na poskytnutie ďalšej </w:t>
            </w:r>
            <w:proofErr w:type="spellStart"/>
            <w:r w:rsidRPr="0007767F">
              <w:rPr>
                <w:bCs/>
                <w:sz w:val="18"/>
                <w:szCs w:val="18"/>
              </w:rPr>
              <w:t>tranže</w:t>
            </w:r>
            <w:proofErr w:type="spellEnd"/>
            <w:r w:rsidRPr="0007767F">
              <w:rPr>
                <w:bCs/>
                <w:sz w:val="18"/>
                <w:szCs w:val="18"/>
              </w:rPr>
              <w:t xml:space="preserve"> zo zmluvy 351/2018/MPRVSR-940 (IROP II. – MRR + VRR) a zároveň bola zohľadnená aj suma zo zmluvy 291/2017-940/MPRV SR (IROP I.) kde v najbližšej dobe nám bude poskytnutá zvyšná časť z VRR, tak aby bola dofinancovaná celá zmluva IROP I. </w:t>
            </w:r>
          </w:p>
          <w:p w14:paraId="75E00E88" w14:textId="77777777" w:rsidR="00AC1D1A" w:rsidRPr="0007767F" w:rsidRDefault="00AC1D1A" w:rsidP="00EE43E7">
            <w:pPr>
              <w:jc w:val="both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 xml:space="preserve">Pri samotnom výpočte sme vychádzali z hodnôt </w:t>
            </w:r>
            <w:r w:rsidRPr="0007767F">
              <w:rPr>
                <w:bCs/>
                <w:sz w:val="18"/>
                <w:szCs w:val="18"/>
              </w:rPr>
              <w:lastRenderedPageBreak/>
              <w:t xml:space="preserve">merateľných ukazovateľov, ktoré boli </w:t>
            </w:r>
            <w:proofErr w:type="spellStart"/>
            <w:r w:rsidRPr="0007767F">
              <w:rPr>
                <w:bCs/>
                <w:sz w:val="18"/>
                <w:szCs w:val="18"/>
              </w:rPr>
              <w:t>zazmluvnené</w:t>
            </w:r>
            <w:proofErr w:type="spellEnd"/>
            <w:r w:rsidRPr="0007767F">
              <w:rPr>
                <w:bCs/>
                <w:sz w:val="18"/>
                <w:szCs w:val="18"/>
              </w:rPr>
              <w:t xml:space="preserve"> v rámci zmluvy o financovaní  1127/2021 (REACT EÚ). K týmto hodnotám bolo na základe informácii zo SIEA zohľadnené navýšenie stavebných materiálov. </w:t>
            </w:r>
          </w:p>
        </w:tc>
      </w:tr>
      <w:tr w:rsidR="00AC1D1A" w:rsidRPr="0007767F" w14:paraId="6CBC73E1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21CA250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C031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2F8BC9B4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Počet domácností zaradených do zlepšenej energetickej triedy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0C5D4C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080E70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C2CDB3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Viac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FE3236C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7D2E0E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00A7200" w14:textId="77777777" w:rsidR="00AC1D1A" w:rsidRPr="0007767F" w:rsidRDefault="00AC1D1A" w:rsidP="00EE43E7">
            <w:pPr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1 001</w:t>
            </w:r>
          </w:p>
          <w:p w14:paraId="5BC46ED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1 674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19DD569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+40%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5B50D8C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+29%</w:t>
            </w:r>
          </w:p>
        </w:tc>
        <w:tc>
          <w:tcPr>
            <w:tcW w:w="567" w:type="dxa"/>
            <w:vMerge/>
            <w:tcBorders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799C51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12A683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Merge/>
          </w:tcPr>
          <w:p w14:paraId="02ED82B8" w14:textId="77777777" w:rsidR="00AC1D1A" w:rsidRPr="0007767F" w:rsidRDefault="00AC1D1A" w:rsidP="00EE43E7">
            <w:pPr>
              <w:spacing w:before="40" w:after="40" w:line="20" w:lineRule="atLeast"/>
              <w:rPr>
                <w:sz w:val="18"/>
                <w:szCs w:val="18"/>
              </w:rPr>
            </w:pPr>
          </w:p>
        </w:tc>
      </w:tr>
      <w:tr w:rsidR="0007767F" w:rsidRPr="0007767F" w14:paraId="0DE8C9BB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4B670EF" w14:textId="77777777" w:rsidR="0007767F" w:rsidRPr="0007767F" w:rsidRDefault="0007767F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lastRenderedPageBreak/>
              <w:t>O0259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3617447C" w14:textId="77777777" w:rsidR="0007767F" w:rsidRPr="0007767F" w:rsidRDefault="0007767F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Ročná spotreba primárnej energie v bytových domoch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35AB23B6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kWh/rok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0185CEB8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055814E8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Menej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F26B445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ADE6B94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1D1E346" w14:textId="77777777" w:rsidR="0007767F" w:rsidRPr="0007767F" w:rsidRDefault="0007767F" w:rsidP="00EE43E7">
            <w:pPr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64 470 556</w:t>
            </w:r>
          </w:p>
          <w:p w14:paraId="5C08AFBC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75 552 926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544AA370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+15%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4E6CE3A4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+15%</w:t>
            </w:r>
          </w:p>
        </w:tc>
        <w:tc>
          <w:tcPr>
            <w:tcW w:w="567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265F042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Monitorovací systém energetickej efektívnosti (SIEA), 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BBEDA1C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Merge/>
          </w:tcPr>
          <w:p w14:paraId="43C23E9C" w14:textId="77777777" w:rsidR="0007767F" w:rsidRPr="0007767F" w:rsidRDefault="0007767F" w:rsidP="00EE43E7">
            <w:pPr>
              <w:spacing w:before="40" w:after="40" w:line="20" w:lineRule="atLeast"/>
              <w:rPr>
                <w:sz w:val="18"/>
                <w:szCs w:val="18"/>
              </w:rPr>
            </w:pPr>
          </w:p>
        </w:tc>
      </w:tr>
      <w:tr w:rsidR="0007767F" w:rsidRPr="0007767F" w14:paraId="1E5C76FC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68FC35B" w14:textId="77777777" w:rsidR="0007767F" w:rsidRPr="0007767F" w:rsidRDefault="0007767F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O0259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44464B48" w14:textId="77777777" w:rsidR="0007767F" w:rsidRPr="0007767F" w:rsidRDefault="0007767F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Ročná spotreba primárnej energie v bytových domoch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57C2DF19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kWh/rok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69F5A908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106287C7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Viac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EFF980A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E787AB2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F07C7F2" w14:textId="77777777" w:rsidR="0007767F" w:rsidRPr="0007767F" w:rsidRDefault="0007767F" w:rsidP="00EE43E7">
            <w:pPr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5 492 732</w:t>
            </w:r>
          </w:p>
          <w:p w14:paraId="388E5B1E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9 186 855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484A5D52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+40%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67EB014E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+29%</w:t>
            </w:r>
          </w:p>
        </w:tc>
        <w:tc>
          <w:tcPr>
            <w:tcW w:w="567" w:type="dxa"/>
            <w:vMerge/>
            <w:tcBorders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D9E0A77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73045E1B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Merge/>
          </w:tcPr>
          <w:p w14:paraId="099B1AB6" w14:textId="77777777" w:rsidR="0007767F" w:rsidRPr="0007767F" w:rsidRDefault="0007767F" w:rsidP="00EE43E7">
            <w:pPr>
              <w:spacing w:before="40" w:after="40" w:line="20" w:lineRule="atLeast"/>
              <w:rPr>
                <w:sz w:val="18"/>
                <w:szCs w:val="18"/>
              </w:rPr>
            </w:pPr>
          </w:p>
        </w:tc>
      </w:tr>
      <w:tr w:rsidR="0007767F" w:rsidRPr="0007767F" w14:paraId="52870E93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C4D643B" w14:textId="77777777" w:rsidR="0007767F" w:rsidRPr="0007767F" w:rsidRDefault="0007767F" w:rsidP="00EE43E7">
            <w:pPr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O0255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200B1E9A" w14:textId="77777777" w:rsidR="0007767F" w:rsidRPr="0007767F" w:rsidRDefault="0007767F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Konečná spotreba energie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65A1B463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kWh/rok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07922DE2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0DF6EA81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Menej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48F2191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2079530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7F3204A" w14:textId="77777777" w:rsidR="0007767F" w:rsidRPr="0007767F" w:rsidRDefault="0007767F" w:rsidP="00EE43E7">
            <w:pPr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54 799 973</w:t>
            </w:r>
          </w:p>
          <w:p w14:paraId="552A8628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64 219 987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5B698D1D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+15%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7B57708A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+15%</w:t>
            </w:r>
          </w:p>
        </w:tc>
        <w:tc>
          <w:tcPr>
            <w:tcW w:w="567" w:type="dxa"/>
            <w:vMerge/>
            <w:tcBorders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4856A9F" w14:textId="38F1897F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6D5845C7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Merge/>
          </w:tcPr>
          <w:p w14:paraId="6E79D256" w14:textId="77777777" w:rsidR="0007767F" w:rsidRPr="0007767F" w:rsidRDefault="0007767F" w:rsidP="00EE43E7">
            <w:pPr>
              <w:spacing w:before="40" w:after="40" w:line="20" w:lineRule="atLeast"/>
              <w:rPr>
                <w:sz w:val="18"/>
                <w:szCs w:val="18"/>
              </w:rPr>
            </w:pPr>
          </w:p>
        </w:tc>
      </w:tr>
      <w:tr w:rsidR="0007767F" w:rsidRPr="0007767F" w14:paraId="54699F7B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246F572" w14:textId="77777777" w:rsidR="0007767F" w:rsidRPr="0007767F" w:rsidRDefault="0007767F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O0255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1742DA4D" w14:textId="77777777" w:rsidR="0007767F" w:rsidRPr="0007767F" w:rsidRDefault="0007767F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Konečná spotreba energie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7ABD852D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kWh/rok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53AAFAF2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6169E975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Viac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72E1BA6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EE78997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3966157" w14:textId="77777777" w:rsidR="0007767F" w:rsidRPr="0007767F" w:rsidRDefault="0007767F" w:rsidP="00EE43E7">
            <w:pPr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4 668 822</w:t>
            </w:r>
          </w:p>
          <w:p w14:paraId="0B210746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7 808 826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0D20B28B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+40%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3A6E351F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+29%</w:t>
            </w:r>
          </w:p>
        </w:tc>
        <w:tc>
          <w:tcPr>
            <w:tcW w:w="567" w:type="dxa"/>
            <w:vMerge/>
            <w:tcBorders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0F8A9B3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4E92FDC9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Merge/>
          </w:tcPr>
          <w:p w14:paraId="781EE5FA" w14:textId="77777777" w:rsidR="0007767F" w:rsidRPr="0007767F" w:rsidRDefault="0007767F" w:rsidP="00EE43E7">
            <w:pPr>
              <w:spacing w:before="40" w:after="40" w:line="20" w:lineRule="atLeast"/>
              <w:rPr>
                <w:sz w:val="18"/>
                <w:szCs w:val="18"/>
              </w:rPr>
            </w:pPr>
          </w:p>
        </w:tc>
      </w:tr>
      <w:tr w:rsidR="0007767F" w:rsidRPr="0007767F" w14:paraId="6A16282B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3180EAB" w14:textId="77777777" w:rsidR="0007767F" w:rsidRPr="0007767F" w:rsidRDefault="0007767F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C034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7CF79FEB" w14:textId="77777777" w:rsidR="0007767F" w:rsidRPr="0007767F" w:rsidRDefault="0007767F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42BEE67E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t </w:t>
            </w:r>
            <w:proofErr w:type="spellStart"/>
            <w:r w:rsidRPr="0007767F">
              <w:rPr>
                <w:sz w:val="18"/>
                <w:szCs w:val="18"/>
              </w:rPr>
              <w:t>ekviv</w:t>
            </w:r>
            <w:proofErr w:type="spellEnd"/>
            <w:r w:rsidRPr="0007767F">
              <w:rPr>
                <w:sz w:val="18"/>
                <w:szCs w:val="18"/>
              </w:rPr>
              <w:t>. CO</w:t>
            </w:r>
            <w:r w:rsidRPr="0007767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309D4DCF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1DBED678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Menej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D366C05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BDADF05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6AAAF8A" w14:textId="77777777" w:rsidR="0007767F" w:rsidRPr="0007767F" w:rsidRDefault="0007767F" w:rsidP="00EE43E7">
            <w:pPr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7 783</w:t>
            </w:r>
          </w:p>
          <w:p w14:paraId="1D1D0A31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9 120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7E1CB118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+15%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2DC2E7DF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+15%</w:t>
            </w:r>
          </w:p>
        </w:tc>
        <w:tc>
          <w:tcPr>
            <w:tcW w:w="567" w:type="dxa"/>
            <w:vMerge/>
            <w:tcBorders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9461D1F" w14:textId="79E0BEED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01D7F034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Merge/>
          </w:tcPr>
          <w:p w14:paraId="5426A85F" w14:textId="77777777" w:rsidR="0007767F" w:rsidRPr="0007767F" w:rsidRDefault="0007767F" w:rsidP="00EE43E7">
            <w:pPr>
              <w:spacing w:before="40" w:after="40" w:line="20" w:lineRule="atLeast"/>
              <w:rPr>
                <w:sz w:val="18"/>
                <w:szCs w:val="18"/>
              </w:rPr>
            </w:pPr>
          </w:p>
        </w:tc>
      </w:tr>
      <w:tr w:rsidR="0007767F" w:rsidRPr="0007767F" w14:paraId="2A8E48A9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F0FDA6D" w14:textId="77777777" w:rsidR="0007767F" w:rsidRPr="0007767F" w:rsidRDefault="0007767F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C034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4E3B7B83" w14:textId="77777777" w:rsidR="0007767F" w:rsidRPr="0007767F" w:rsidRDefault="0007767F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5AFE2A6D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t </w:t>
            </w:r>
            <w:proofErr w:type="spellStart"/>
            <w:r w:rsidRPr="0007767F">
              <w:rPr>
                <w:sz w:val="18"/>
                <w:szCs w:val="18"/>
              </w:rPr>
              <w:t>ekviv</w:t>
            </w:r>
            <w:proofErr w:type="spellEnd"/>
            <w:r w:rsidRPr="0007767F">
              <w:rPr>
                <w:sz w:val="18"/>
                <w:szCs w:val="18"/>
              </w:rPr>
              <w:t>. CO</w:t>
            </w:r>
            <w:r w:rsidRPr="0007767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63AE8FA2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3AC9133E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Viac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EF3FFBF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1A73482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69604D8" w14:textId="77777777" w:rsidR="0007767F" w:rsidRPr="0007767F" w:rsidRDefault="0007767F" w:rsidP="00EE43E7">
            <w:pPr>
              <w:jc w:val="center"/>
              <w:rPr>
                <w:strike/>
                <w:sz w:val="18"/>
                <w:szCs w:val="18"/>
              </w:rPr>
            </w:pPr>
            <w:r w:rsidRPr="0007767F">
              <w:rPr>
                <w:strike/>
                <w:sz w:val="18"/>
                <w:szCs w:val="18"/>
              </w:rPr>
              <w:t>663</w:t>
            </w:r>
          </w:p>
          <w:p w14:paraId="44448CFD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1 108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14E1A5EE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+40%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2FA751C9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+29%</w:t>
            </w:r>
          </w:p>
        </w:tc>
        <w:tc>
          <w:tcPr>
            <w:tcW w:w="567" w:type="dxa"/>
            <w:vMerge/>
            <w:tcBorders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0F959F2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38FC6F28" w14:textId="77777777" w:rsidR="0007767F" w:rsidRPr="0007767F" w:rsidRDefault="0007767F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537" w:type="dxa"/>
            <w:vMerge/>
          </w:tcPr>
          <w:p w14:paraId="47412DFE" w14:textId="77777777" w:rsidR="0007767F" w:rsidRPr="0007767F" w:rsidRDefault="0007767F" w:rsidP="00EE43E7">
            <w:pPr>
              <w:spacing w:before="40" w:after="40" w:line="20" w:lineRule="atLeast"/>
              <w:rPr>
                <w:sz w:val="18"/>
                <w:szCs w:val="18"/>
              </w:rPr>
            </w:pPr>
          </w:p>
        </w:tc>
      </w:tr>
    </w:tbl>
    <w:p w14:paraId="2F8637A3" w14:textId="77777777" w:rsidR="00AC1D1A" w:rsidRPr="0007767F" w:rsidRDefault="00AC1D1A" w:rsidP="00AC1D1A">
      <w:pPr>
        <w:spacing w:before="240" w:after="80" w:line="245" w:lineRule="auto"/>
        <w:jc w:val="both"/>
        <w:rPr>
          <w:b/>
          <w:color w:val="000000"/>
          <w:sz w:val="18"/>
          <w:szCs w:val="18"/>
        </w:rPr>
      </w:pPr>
      <w:r w:rsidRPr="0007767F">
        <w:rPr>
          <w:b/>
          <w:color w:val="000000"/>
          <w:sz w:val="18"/>
          <w:szCs w:val="18"/>
        </w:rPr>
        <w:t>Tabuľka č. 8. Prehľad vybraných výstupových ukazovateľov investičnej priority 4.3, pri ktorých dochádza k zmene a doplneniu cieľových hodnôt</w:t>
      </w:r>
    </w:p>
    <w:tbl>
      <w:tblPr>
        <w:tblW w:w="15157" w:type="dxa"/>
        <w:tbl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H w:val="single" w:sz="8" w:space="0" w:color="4E67C8"/>
          <w:insideV w:val="single" w:sz="8" w:space="0" w:color="4E67C8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1910"/>
        <w:gridCol w:w="1209"/>
        <w:gridCol w:w="708"/>
        <w:gridCol w:w="1276"/>
        <w:gridCol w:w="567"/>
        <w:gridCol w:w="567"/>
        <w:gridCol w:w="850"/>
        <w:gridCol w:w="709"/>
        <w:gridCol w:w="850"/>
        <w:gridCol w:w="567"/>
        <w:gridCol w:w="850"/>
        <w:gridCol w:w="4395"/>
      </w:tblGrid>
      <w:tr w:rsidR="00AC1D1A" w:rsidRPr="0007767F" w14:paraId="1ED75630" w14:textId="77777777" w:rsidTr="009161AF">
        <w:trPr>
          <w:trHeight w:val="431"/>
        </w:trPr>
        <w:tc>
          <w:tcPr>
            <w:tcW w:w="699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B11438D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910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059622B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Ukazovateľ</w:t>
            </w:r>
          </w:p>
        </w:tc>
        <w:tc>
          <w:tcPr>
            <w:tcW w:w="1209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01805AE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708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49EBA01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Fond</w:t>
            </w:r>
          </w:p>
        </w:tc>
        <w:tc>
          <w:tcPr>
            <w:tcW w:w="1276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8529160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Kategória regiónu</w:t>
            </w:r>
          </w:p>
        </w:tc>
        <w:tc>
          <w:tcPr>
            <w:tcW w:w="1984" w:type="dxa"/>
            <w:gridSpan w:val="3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2A007FD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Cieľová hodnota (2023)</w:t>
            </w:r>
          </w:p>
        </w:tc>
        <w:tc>
          <w:tcPr>
            <w:tcW w:w="709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</w:tcPr>
          <w:p w14:paraId="205F2EFB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% zmena ukazovateľa</w:t>
            </w:r>
          </w:p>
        </w:tc>
        <w:tc>
          <w:tcPr>
            <w:tcW w:w="850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</w:tcPr>
          <w:p w14:paraId="7E9A2441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% zmena alokácie</w:t>
            </w:r>
          </w:p>
        </w:tc>
        <w:tc>
          <w:tcPr>
            <w:tcW w:w="567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A6DBFFB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Zdroj dát</w:t>
            </w:r>
          </w:p>
        </w:tc>
        <w:tc>
          <w:tcPr>
            <w:tcW w:w="850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vAlign w:val="center"/>
          </w:tcPr>
          <w:p w14:paraId="5F6AEF73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Frekvencia podávania správ</w:t>
            </w:r>
          </w:p>
        </w:tc>
        <w:tc>
          <w:tcPr>
            <w:tcW w:w="4395" w:type="dxa"/>
            <w:vMerge w:val="restart"/>
            <w:tcBorders>
              <w:top w:val="single" w:sz="8" w:space="0" w:color="4E67C8"/>
              <w:left w:val="single" w:sz="8" w:space="0" w:color="4E67C8"/>
              <w:right w:val="single" w:sz="8" w:space="0" w:color="4E67C8"/>
            </w:tcBorders>
            <w:vAlign w:val="center"/>
          </w:tcPr>
          <w:p w14:paraId="247104F1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Zdôvodnenie zmeny cieľovej hodnoty ukazovateľa</w:t>
            </w:r>
          </w:p>
        </w:tc>
      </w:tr>
      <w:tr w:rsidR="00AC1D1A" w:rsidRPr="0007767F" w14:paraId="4E7D2DE5" w14:textId="77777777" w:rsidTr="009161AF">
        <w:trPr>
          <w:trHeight w:val="397"/>
        </w:trPr>
        <w:tc>
          <w:tcPr>
            <w:tcW w:w="699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46123199" w14:textId="77777777" w:rsidR="00AC1D1A" w:rsidRPr="0007767F" w:rsidRDefault="00AC1D1A" w:rsidP="00EE43E7">
            <w:pPr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4305A355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4A57CB2C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251A21EA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7693DA0F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121594D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76BAF86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Ž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9396546" w14:textId="77777777" w:rsidR="00AC1D1A" w:rsidRPr="0007767F" w:rsidRDefault="00AC1D1A" w:rsidP="00EE43E7">
            <w:pPr>
              <w:jc w:val="center"/>
              <w:rPr>
                <w:b/>
                <w:bCs/>
                <w:sz w:val="18"/>
                <w:szCs w:val="18"/>
              </w:rPr>
            </w:pPr>
            <w:r w:rsidRPr="0007767F">
              <w:rPr>
                <w:b/>
                <w:bCs/>
                <w:sz w:val="18"/>
                <w:szCs w:val="18"/>
              </w:rPr>
              <w:t>M+Ž</w:t>
            </w:r>
          </w:p>
        </w:tc>
        <w:tc>
          <w:tcPr>
            <w:tcW w:w="709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49EEEDBE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6E237E84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</w:tcPr>
          <w:p w14:paraId="62B98EC1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03A6653F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8" w:space="0" w:color="4E67C8"/>
              <w:bottom w:val="single" w:sz="18" w:space="0" w:color="4E67C8"/>
              <w:right w:val="single" w:sz="8" w:space="0" w:color="4E67C8"/>
            </w:tcBorders>
          </w:tcPr>
          <w:p w14:paraId="2186E147" w14:textId="77777777" w:rsidR="00AC1D1A" w:rsidRPr="0007767F" w:rsidRDefault="00AC1D1A" w:rsidP="00EE43E7">
            <w:pPr>
              <w:rPr>
                <w:b/>
                <w:bCs/>
                <w:strike/>
                <w:sz w:val="18"/>
                <w:szCs w:val="18"/>
              </w:rPr>
            </w:pPr>
          </w:p>
        </w:tc>
      </w:tr>
      <w:tr w:rsidR="00AC1D1A" w:rsidRPr="0007767F" w14:paraId="3D2DA706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3568083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O0157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188CDEA9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Kapacita na zadržanie  dažďovej vody v sídlach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F46AE4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m3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599563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68DC6F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Menej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816A7A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82B8FA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A330AE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07767F">
              <w:rPr>
                <w:bCs/>
                <w:strike/>
                <w:sz w:val="18"/>
                <w:szCs w:val="18"/>
              </w:rPr>
              <w:t>5 846</w:t>
            </w:r>
          </w:p>
          <w:p w14:paraId="23353454" w14:textId="77777777" w:rsidR="00AC1D1A" w:rsidRPr="0007767F" w:rsidDel="00967649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3 771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4B25452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-35,5%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6FDA72F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-18,45%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A79FF8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54C605E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395" w:type="dxa"/>
          </w:tcPr>
          <w:p w14:paraId="7E19C1D3" w14:textId="77777777" w:rsidR="00AC1D1A" w:rsidRPr="0007767F" w:rsidRDefault="00AC1D1A" w:rsidP="00EE43E7">
            <w:pPr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Hodnota merateľného ukazovateľa sa mení z dôvodu nesprávneho predpokladu stanovenia podielu opatrení na zadržanie dažďovej vody v sídlach na celkovej alokácii IROP pre príslušný špecifický cieľ. Zmena hodnoty zohľadňuje aj zníženie alokácie špecifického cieľa.</w:t>
            </w:r>
          </w:p>
        </w:tc>
      </w:tr>
      <w:tr w:rsidR="00AC1D1A" w:rsidRPr="0007767F" w14:paraId="775E7B16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B6D7643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C038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515E9D17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Vytvorené alebo obnovené otvorené priestranstvá v mestských oblastiach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5BD506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m2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AC2391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4815E22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Menej 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A90E89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43822E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89FD249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07767F">
              <w:rPr>
                <w:bCs/>
                <w:strike/>
                <w:sz w:val="18"/>
                <w:szCs w:val="18"/>
              </w:rPr>
              <w:t>1 573 172</w:t>
            </w:r>
          </w:p>
          <w:p w14:paraId="1652F06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1 406 113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06DD1D2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-10,6%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6BB4E996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-18,45%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672201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34520B1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395" w:type="dxa"/>
          </w:tcPr>
          <w:p w14:paraId="7E03EB15" w14:textId="77777777" w:rsidR="00AC1D1A" w:rsidRPr="0007767F" w:rsidRDefault="00AC1D1A" w:rsidP="00EE43E7">
            <w:pPr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Hodnota merateľného ukazovateľa sa mení z dôvodu nesprávneho predpokladu stanovenia podielu opatrení na podporu prvkov zelenej  infraštruktúry na území UMR. </w:t>
            </w:r>
          </w:p>
        </w:tc>
      </w:tr>
      <w:tr w:rsidR="00AC1D1A" w:rsidRPr="0007767F" w14:paraId="2FF6BF5D" w14:textId="77777777" w:rsidTr="009161AF">
        <w:tc>
          <w:tcPr>
            <w:tcW w:w="69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7EA501EF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O0239</w:t>
            </w:r>
          </w:p>
        </w:tc>
        <w:tc>
          <w:tcPr>
            <w:tcW w:w="191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</w:tcPr>
          <w:p w14:paraId="1B483346" w14:textId="77777777" w:rsidR="00AC1D1A" w:rsidRPr="0007767F" w:rsidRDefault="00AC1D1A" w:rsidP="00EE43E7">
            <w:pPr>
              <w:spacing w:before="40" w:after="40" w:line="20" w:lineRule="atLeast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 xml:space="preserve">Počet zavedených </w:t>
            </w:r>
            <w:r w:rsidRPr="0007767F">
              <w:rPr>
                <w:bCs/>
                <w:sz w:val="18"/>
                <w:szCs w:val="18"/>
              </w:rPr>
              <w:lastRenderedPageBreak/>
              <w:t>opatrení na zníženie hluku</w:t>
            </w:r>
          </w:p>
        </w:tc>
        <w:tc>
          <w:tcPr>
            <w:tcW w:w="12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BE3CB3D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lastRenderedPageBreak/>
              <w:t>počet</w:t>
            </w:r>
          </w:p>
        </w:tc>
        <w:tc>
          <w:tcPr>
            <w:tcW w:w="708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2CF8AF97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EFRR</w:t>
            </w:r>
          </w:p>
        </w:tc>
        <w:tc>
          <w:tcPr>
            <w:tcW w:w="127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5B74F1D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 xml:space="preserve">Menej </w:t>
            </w:r>
            <w:r w:rsidRPr="0007767F">
              <w:rPr>
                <w:bCs/>
                <w:sz w:val="18"/>
                <w:szCs w:val="18"/>
              </w:rPr>
              <w:lastRenderedPageBreak/>
              <w:t>rozvinutý región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306DE77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lastRenderedPageBreak/>
              <w:t>N/A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354D84F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68FB04A5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07767F">
              <w:rPr>
                <w:bCs/>
                <w:strike/>
                <w:sz w:val="18"/>
                <w:szCs w:val="18"/>
              </w:rPr>
              <w:t>14</w:t>
            </w:r>
          </w:p>
          <w:p w14:paraId="00EE25C2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4B2B389A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lastRenderedPageBreak/>
              <w:t>-14,3%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vAlign w:val="center"/>
          </w:tcPr>
          <w:p w14:paraId="54273D78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-18,45%</w:t>
            </w:r>
          </w:p>
        </w:tc>
        <w:tc>
          <w:tcPr>
            <w:tcW w:w="56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006DFB84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bCs/>
                <w:sz w:val="18"/>
                <w:szCs w:val="18"/>
              </w:rPr>
            </w:pPr>
            <w:r w:rsidRPr="0007767F">
              <w:rPr>
                <w:bCs/>
                <w:sz w:val="18"/>
                <w:szCs w:val="18"/>
              </w:rPr>
              <w:t>ITMS</w:t>
            </w:r>
          </w:p>
        </w:tc>
        <w:tc>
          <w:tcPr>
            <w:tcW w:w="85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vAlign w:val="center"/>
          </w:tcPr>
          <w:p w14:paraId="16569F0B" w14:textId="77777777" w:rsidR="00AC1D1A" w:rsidRPr="0007767F" w:rsidRDefault="00AC1D1A" w:rsidP="00EE43E7">
            <w:pPr>
              <w:spacing w:before="40" w:after="40" w:line="20" w:lineRule="atLeast"/>
              <w:jc w:val="center"/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>ročne</w:t>
            </w:r>
          </w:p>
        </w:tc>
        <w:tc>
          <w:tcPr>
            <w:tcW w:w="4395" w:type="dxa"/>
          </w:tcPr>
          <w:p w14:paraId="1420234B" w14:textId="77777777" w:rsidR="00AC1D1A" w:rsidRPr="0007767F" w:rsidRDefault="00AC1D1A" w:rsidP="00EE43E7">
            <w:pPr>
              <w:rPr>
                <w:sz w:val="18"/>
                <w:szCs w:val="18"/>
              </w:rPr>
            </w:pPr>
            <w:r w:rsidRPr="0007767F">
              <w:rPr>
                <w:sz w:val="18"/>
                <w:szCs w:val="18"/>
              </w:rPr>
              <w:t xml:space="preserve">Hodnota merateľného ukazovateľa sa mení z dôvodu nesprávneho predpokladu stanovenia podielu </w:t>
            </w:r>
            <w:r w:rsidRPr="0007767F">
              <w:rPr>
                <w:sz w:val="18"/>
                <w:szCs w:val="18"/>
              </w:rPr>
              <w:lastRenderedPageBreak/>
              <w:t>opatrení na zníženie hluku na celkovej alokácii IROP pre príslušný špecifický cieľ.</w:t>
            </w:r>
          </w:p>
        </w:tc>
      </w:tr>
    </w:tbl>
    <w:p w14:paraId="5C8FFBD9" w14:textId="77777777" w:rsidR="0007767F" w:rsidRDefault="0007767F" w:rsidP="00AC1D1A">
      <w:pPr>
        <w:spacing w:before="240" w:after="120"/>
        <w:jc w:val="both"/>
        <w:rPr>
          <w:rFonts w:ascii="Arial Narrow" w:hAnsi="Arial Narrow"/>
        </w:rPr>
        <w:sectPr w:rsidR="0007767F" w:rsidSect="00EE43E7">
          <w:footerReference w:type="default" r:id="rId15"/>
          <w:pgSz w:w="16838" w:h="11906" w:orient="landscape"/>
          <w:pgMar w:top="1247" w:right="1276" w:bottom="992" w:left="1134" w:header="709" w:footer="544" w:gutter="0"/>
          <w:cols w:space="708"/>
          <w:docGrid w:linePitch="360"/>
        </w:sectPr>
      </w:pPr>
    </w:p>
    <w:p w14:paraId="4B25E26B" w14:textId="60E8339F" w:rsidR="00213CE7" w:rsidRPr="00F510FE" w:rsidRDefault="00D6402D" w:rsidP="0087675E">
      <w:pPr>
        <w:spacing w:before="80" w:after="8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lastRenderedPageBreak/>
        <w:t>5.</w:t>
      </w:r>
      <w:r w:rsidR="00262F85" w:rsidRPr="00F510FE">
        <w:rPr>
          <w:b/>
          <w:bCs/>
          <w:sz w:val="22"/>
          <w:szCs w:val="22"/>
        </w:rPr>
        <w:tab/>
      </w:r>
      <w:r w:rsidR="00E54ACB" w:rsidRPr="00F510FE">
        <w:rPr>
          <w:b/>
          <w:bCs/>
          <w:sz w:val="22"/>
          <w:szCs w:val="22"/>
        </w:rPr>
        <w:t>Uvažované variantné riešenia</w:t>
      </w:r>
      <w:r w:rsidR="00213CE7" w:rsidRPr="00F510FE">
        <w:rPr>
          <w:b/>
          <w:bCs/>
          <w:sz w:val="22"/>
          <w:szCs w:val="22"/>
        </w:rPr>
        <w:t xml:space="preserve"> zohľadňujúce ciele a geografický rozmer strategického dokumentu</w:t>
      </w:r>
    </w:p>
    <w:p w14:paraId="57D8809C" w14:textId="6A753041" w:rsidR="00E54ACB" w:rsidRDefault="00C63DE7" w:rsidP="00BF3AB9">
      <w:pPr>
        <w:widowControl/>
        <w:autoSpaceDE/>
        <w:autoSpaceDN/>
        <w:adjustRightInd/>
        <w:spacing w:before="80" w:line="276" w:lineRule="auto"/>
        <w:jc w:val="both"/>
        <w:rPr>
          <w:sz w:val="22"/>
          <w:szCs w:val="22"/>
        </w:rPr>
      </w:pPr>
      <w:r w:rsidRPr="00094181">
        <w:rPr>
          <w:sz w:val="22"/>
          <w:szCs w:val="22"/>
        </w:rPr>
        <w:t>Navrhované zmeny IROP</w:t>
      </w:r>
      <w:r w:rsidR="009161AF">
        <w:rPr>
          <w:sz w:val="22"/>
          <w:szCs w:val="22"/>
        </w:rPr>
        <w:t>, verzia 13.0</w:t>
      </w:r>
      <w:r w:rsidRPr="00094181">
        <w:rPr>
          <w:sz w:val="22"/>
          <w:szCs w:val="22"/>
        </w:rPr>
        <w:t xml:space="preserve"> sú invariantného charakteru z dôvodu limitovaných možnosti uskutočnenia revízie. </w:t>
      </w:r>
    </w:p>
    <w:p w14:paraId="2CC91A7C" w14:textId="77777777" w:rsidR="00BF3AB9" w:rsidRPr="00094181" w:rsidRDefault="00BF3AB9" w:rsidP="00BF3AB9">
      <w:pPr>
        <w:widowControl/>
        <w:autoSpaceDE/>
        <w:autoSpaceDN/>
        <w:adjustRightInd/>
        <w:spacing w:before="80" w:line="276" w:lineRule="auto"/>
        <w:jc w:val="both"/>
        <w:rPr>
          <w:sz w:val="22"/>
          <w:szCs w:val="22"/>
        </w:rPr>
      </w:pPr>
    </w:p>
    <w:p w14:paraId="2BCE924F" w14:textId="746F4AFC" w:rsidR="00E54ACB" w:rsidRPr="00F510FE" w:rsidRDefault="00262F85" w:rsidP="00D66A79">
      <w:pPr>
        <w:spacing w:before="80" w:line="264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6</w:t>
      </w:r>
      <w:r w:rsidR="00E84FB4" w:rsidRPr="00F510FE">
        <w:rPr>
          <w:b/>
          <w:bCs/>
          <w:sz w:val="22"/>
          <w:szCs w:val="22"/>
        </w:rPr>
        <w:t>.</w:t>
      </w:r>
      <w:r w:rsidRPr="00F510FE">
        <w:rPr>
          <w:b/>
          <w:bCs/>
          <w:sz w:val="22"/>
          <w:szCs w:val="22"/>
        </w:rPr>
        <w:tab/>
      </w:r>
      <w:r w:rsidR="00E54ACB" w:rsidRPr="00F510FE">
        <w:rPr>
          <w:b/>
          <w:bCs/>
          <w:sz w:val="22"/>
          <w:szCs w:val="22"/>
        </w:rPr>
        <w:t>Vecný a časový harmonogram prípravy a schvaľovania</w:t>
      </w:r>
    </w:p>
    <w:p w14:paraId="4705B6DA" w14:textId="6CC2ABA6" w:rsidR="00BF3AB9" w:rsidRDefault="00C63DE7" w:rsidP="00BF3AB9">
      <w:pPr>
        <w:widowControl/>
        <w:autoSpaceDE/>
        <w:autoSpaceDN/>
        <w:adjustRightInd/>
        <w:spacing w:before="80" w:line="276" w:lineRule="auto"/>
        <w:jc w:val="both"/>
        <w:rPr>
          <w:sz w:val="22"/>
          <w:szCs w:val="22"/>
        </w:rPr>
      </w:pPr>
      <w:r w:rsidRPr="00094181">
        <w:rPr>
          <w:sz w:val="22"/>
          <w:szCs w:val="22"/>
        </w:rPr>
        <w:t xml:space="preserve">Navrhované zmeny IROP </w:t>
      </w:r>
      <w:r w:rsidR="003D3DC1" w:rsidRPr="00094181">
        <w:rPr>
          <w:sz w:val="22"/>
          <w:szCs w:val="22"/>
        </w:rPr>
        <w:t xml:space="preserve">(verzia </w:t>
      </w:r>
      <w:r w:rsidR="0007767F">
        <w:rPr>
          <w:sz w:val="22"/>
          <w:szCs w:val="22"/>
        </w:rPr>
        <w:t>13</w:t>
      </w:r>
      <w:r w:rsidR="00072B20" w:rsidRPr="00094181">
        <w:rPr>
          <w:sz w:val="22"/>
          <w:szCs w:val="22"/>
        </w:rPr>
        <w:t>.0</w:t>
      </w:r>
      <w:r w:rsidR="003D3DC1" w:rsidRPr="00094181">
        <w:rPr>
          <w:sz w:val="22"/>
          <w:szCs w:val="22"/>
        </w:rPr>
        <w:t xml:space="preserve">) </w:t>
      </w:r>
      <w:r w:rsidRPr="00094181">
        <w:rPr>
          <w:sz w:val="22"/>
          <w:szCs w:val="22"/>
        </w:rPr>
        <w:t xml:space="preserve">boli predmetom </w:t>
      </w:r>
      <w:r w:rsidR="00582CF8" w:rsidRPr="00094181">
        <w:rPr>
          <w:sz w:val="22"/>
          <w:szCs w:val="22"/>
        </w:rPr>
        <w:t>pripomienkovania</w:t>
      </w:r>
      <w:r w:rsidR="00C32D3B" w:rsidRPr="00094181">
        <w:rPr>
          <w:sz w:val="22"/>
          <w:szCs w:val="22"/>
        </w:rPr>
        <w:t xml:space="preserve"> členov </w:t>
      </w:r>
      <w:r w:rsidR="00582CF8" w:rsidRPr="00094181">
        <w:rPr>
          <w:sz w:val="22"/>
          <w:szCs w:val="22"/>
        </w:rPr>
        <w:t xml:space="preserve">Monitorovacieho výboru IROP </w:t>
      </w:r>
      <w:r w:rsidR="00BF3AB9">
        <w:rPr>
          <w:sz w:val="22"/>
          <w:szCs w:val="22"/>
        </w:rPr>
        <w:t>v dňoch od 3.02.2023 do 10.02.2023. Dňa 17.02.2023 bolo zasadnutie monitorovacieho výboru na ktorom boli členom prezentované zmeny IROP, verzia 13.0. Následne bol vytvorení priestor na diskusiu o navrhovaných zmenách. Výsledkom zasadnutia bol schválenie navrhovaných zmien IROP, verzia 13.0 uznesením Monitorovacieho výboru pre IROP č. 28/2023.</w:t>
      </w:r>
    </w:p>
    <w:p w14:paraId="317C385F" w14:textId="08E5F62F" w:rsidR="00BF3AB9" w:rsidRDefault="00BF3AB9" w:rsidP="00BF3AB9">
      <w:pPr>
        <w:widowControl/>
        <w:autoSpaceDE/>
        <w:autoSpaceDN/>
        <w:adjustRightInd/>
        <w:spacing w:before="80" w:line="276" w:lineRule="auto"/>
        <w:jc w:val="both"/>
        <w:rPr>
          <w:sz w:val="22"/>
          <w:szCs w:val="22"/>
        </w:rPr>
      </w:pPr>
      <w:r w:rsidRPr="00BF3AB9">
        <w:rPr>
          <w:sz w:val="22"/>
          <w:szCs w:val="22"/>
        </w:rPr>
        <w:t xml:space="preserve">Po ukončení procesu posudzovania vplyvov na životné prostredie podľa zákona č. 24/2006 Z. z. </w:t>
      </w:r>
      <w:r>
        <w:rPr>
          <w:sz w:val="22"/>
          <w:szCs w:val="22"/>
        </w:rPr>
        <w:t>MIRRI</w:t>
      </w:r>
      <w:r w:rsidRPr="00BF3AB9">
        <w:rPr>
          <w:sz w:val="22"/>
          <w:szCs w:val="22"/>
        </w:rPr>
        <w:t xml:space="preserve"> SR predloží </w:t>
      </w:r>
      <w:r>
        <w:rPr>
          <w:sz w:val="22"/>
          <w:szCs w:val="22"/>
        </w:rPr>
        <w:t>navrhované zmeny IROP, verzia 13.0</w:t>
      </w:r>
      <w:r w:rsidRPr="00BF3AB9">
        <w:rPr>
          <w:sz w:val="22"/>
          <w:szCs w:val="22"/>
        </w:rPr>
        <w:t xml:space="preserve"> na posúdenie EK prostredníctvom Systému riadenia fondov Európskeho spoločenstva (SFC2014). </w:t>
      </w:r>
    </w:p>
    <w:p w14:paraId="674BED96" w14:textId="61A86C7E" w:rsidR="00BF3AB9" w:rsidRDefault="00BF3AB9" w:rsidP="00BF3AB9">
      <w:pPr>
        <w:widowControl/>
        <w:autoSpaceDE/>
        <w:autoSpaceDN/>
        <w:adjustRightInd/>
        <w:spacing w:before="80" w:line="276" w:lineRule="auto"/>
        <w:jc w:val="both"/>
        <w:rPr>
          <w:sz w:val="22"/>
          <w:szCs w:val="22"/>
        </w:rPr>
      </w:pPr>
      <w:r w:rsidRPr="00BF3AB9">
        <w:rPr>
          <w:sz w:val="22"/>
          <w:szCs w:val="22"/>
        </w:rPr>
        <w:t xml:space="preserve">V prípade potreby bude </w:t>
      </w:r>
      <w:r>
        <w:rPr>
          <w:sz w:val="22"/>
          <w:szCs w:val="22"/>
        </w:rPr>
        <w:t>IROP, verzia 13.0</w:t>
      </w:r>
      <w:r w:rsidRPr="00BF3A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ďalej upravený v zmysle pripomienok a odporúčaní EK. </w:t>
      </w:r>
      <w:r w:rsidRPr="00BF3AB9">
        <w:rPr>
          <w:sz w:val="22"/>
          <w:szCs w:val="22"/>
        </w:rPr>
        <w:t>Podľa čl. 30 všeobecného nariadenia schváli Komisia žiadosti o zmenu programu čo najskôr, ale najneskôr do dvoch mesiacov po ich predložení členským štátom za predpokladu, že sa všetky pripomienky EK náležite zohľadnili.</w:t>
      </w:r>
    </w:p>
    <w:p w14:paraId="15570C25" w14:textId="77777777" w:rsidR="00BF3AB9" w:rsidRDefault="00BF3AB9" w:rsidP="00BF3AB9">
      <w:pPr>
        <w:widowControl/>
        <w:autoSpaceDE/>
        <w:autoSpaceDN/>
        <w:adjustRightInd/>
        <w:spacing w:before="80" w:line="276" w:lineRule="auto"/>
        <w:jc w:val="both"/>
        <w:rPr>
          <w:sz w:val="22"/>
          <w:szCs w:val="22"/>
        </w:rPr>
      </w:pPr>
    </w:p>
    <w:p w14:paraId="668F5294" w14:textId="52428EC9" w:rsidR="00E54ACB" w:rsidRPr="00F510FE" w:rsidRDefault="003D3DC1" w:rsidP="00DC39FD">
      <w:pPr>
        <w:spacing w:before="24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7</w:t>
      </w:r>
      <w:r w:rsidR="00D6402D" w:rsidRPr="00F510FE">
        <w:rPr>
          <w:b/>
          <w:bCs/>
          <w:sz w:val="22"/>
          <w:szCs w:val="22"/>
        </w:rPr>
        <w:t>.</w:t>
      </w:r>
      <w:r w:rsidR="00E54ACB" w:rsidRPr="00F510FE">
        <w:rPr>
          <w:b/>
          <w:bCs/>
          <w:sz w:val="22"/>
          <w:szCs w:val="22"/>
        </w:rPr>
        <w:tab/>
        <w:t>Vzťah k iným strategickým dokumentom</w:t>
      </w:r>
    </w:p>
    <w:p w14:paraId="2ED36F27" w14:textId="6A2EEBD3" w:rsidR="00E54ACB" w:rsidRPr="00F510FE" w:rsidRDefault="001C3089" w:rsidP="00E42DB0">
      <w:pPr>
        <w:spacing w:before="80" w:after="60" w:line="276" w:lineRule="auto"/>
        <w:jc w:val="both"/>
        <w:rPr>
          <w:i/>
          <w:sz w:val="22"/>
          <w:szCs w:val="22"/>
        </w:rPr>
      </w:pPr>
      <w:r w:rsidRPr="00F510FE">
        <w:rPr>
          <w:i/>
          <w:sz w:val="22"/>
          <w:szCs w:val="22"/>
        </w:rPr>
        <w:t>Strategické dokumenty a politiky EÚ</w:t>
      </w:r>
    </w:p>
    <w:p w14:paraId="005BFE45" w14:textId="77777777" w:rsidR="006E3F06" w:rsidRPr="00F510FE" w:rsidRDefault="006E3F06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Spoločný strategický rámec,</w:t>
      </w:r>
    </w:p>
    <w:p w14:paraId="64363B09" w14:textId="77777777" w:rsidR="005A0A06" w:rsidRPr="00F510FE" w:rsidRDefault="006E3F06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  <w:spacing w:val="-2"/>
        </w:rPr>
      </w:pPr>
      <w:r w:rsidRPr="00F510FE">
        <w:rPr>
          <w:rFonts w:ascii="Arial" w:hAnsi="Arial" w:cs="Arial"/>
          <w:spacing w:val="-2"/>
        </w:rPr>
        <w:t xml:space="preserve">Európa 2020 </w:t>
      </w:r>
      <w:r w:rsidR="005A0A06" w:rsidRPr="00F510FE">
        <w:rPr>
          <w:rFonts w:ascii="Arial" w:hAnsi="Arial" w:cs="Arial"/>
          <w:spacing w:val="-2"/>
        </w:rPr>
        <w:t>Stratégia na zabezpečenie inteligentného, ud</w:t>
      </w:r>
      <w:r w:rsidRPr="00F510FE">
        <w:rPr>
          <w:rFonts w:ascii="Arial" w:hAnsi="Arial" w:cs="Arial"/>
          <w:spacing w:val="-2"/>
        </w:rPr>
        <w:t>ržateľného a </w:t>
      </w:r>
      <w:proofErr w:type="spellStart"/>
      <w:r w:rsidRPr="00F510FE">
        <w:rPr>
          <w:rFonts w:ascii="Arial" w:hAnsi="Arial" w:cs="Arial"/>
          <w:spacing w:val="-2"/>
        </w:rPr>
        <w:t>inkluzívneho</w:t>
      </w:r>
      <w:proofErr w:type="spellEnd"/>
      <w:r w:rsidRPr="00F510FE">
        <w:rPr>
          <w:rFonts w:ascii="Arial" w:hAnsi="Arial" w:cs="Arial"/>
          <w:spacing w:val="-2"/>
        </w:rPr>
        <w:t xml:space="preserve"> rastu,</w:t>
      </w:r>
    </w:p>
    <w:p w14:paraId="0F83BB4A" w14:textId="77777777" w:rsidR="006E3F06" w:rsidRPr="00F510FE" w:rsidRDefault="006E3F06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Strategické usmernenia Spoločenstva,</w:t>
      </w:r>
    </w:p>
    <w:p w14:paraId="4BB4C0C7" w14:textId="77777777" w:rsidR="006E3F06" w:rsidRPr="00F510FE" w:rsidRDefault="006E3F06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Lisabonská stratégia,</w:t>
      </w:r>
    </w:p>
    <w:p w14:paraId="7054634A" w14:textId="77777777" w:rsidR="006E3F06" w:rsidRPr="00F510FE" w:rsidRDefault="005A0A06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Odporúčania Rady, ktoré sa týka národného programu reforiem Slovenska</w:t>
      </w:r>
      <w:r w:rsidR="006E3F06" w:rsidRPr="00F510FE">
        <w:rPr>
          <w:rFonts w:ascii="Arial" w:hAnsi="Arial" w:cs="Arial"/>
        </w:rPr>
        <w:t>,</w:t>
      </w:r>
      <w:r w:rsidRPr="00F510FE">
        <w:rPr>
          <w:rFonts w:ascii="Arial" w:hAnsi="Arial" w:cs="Arial"/>
        </w:rPr>
        <w:t xml:space="preserve"> </w:t>
      </w:r>
    </w:p>
    <w:p w14:paraId="7071F548" w14:textId="77777777" w:rsidR="005A0A06" w:rsidRPr="00F510FE" w:rsidRDefault="005A0A06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Pozičný dokument EK</w:t>
      </w:r>
      <w:r w:rsidR="006E3F06" w:rsidRPr="00F510FE">
        <w:rPr>
          <w:rFonts w:ascii="Arial" w:hAnsi="Arial" w:cs="Arial"/>
        </w:rPr>
        <w:t>,</w:t>
      </w:r>
    </w:p>
    <w:p w14:paraId="5EDBBE78" w14:textId="77777777" w:rsidR="006E3F06" w:rsidRPr="00F510FE" w:rsidRDefault="006E3F06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Legislatíva ES v oblasti kohéznej politiky</w:t>
      </w:r>
      <w:r w:rsidR="00F01880" w:rsidRPr="00F510FE">
        <w:rPr>
          <w:rFonts w:ascii="Arial" w:hAnsi="Arial" w:cs="Arial"/>
        </w:rPr>
        <w:t>.</w:t>
      </w:r>
    </w:p>
    <w:p w14:paraId="03E1DECA" w14:textId="5586EBF0" w:rsidR="001C3089" w:rsidRPr="00F510FE" w:rsidRDefault="001C3089" w:rsidP="00E42DB0">
      <w:pPr>
        <w:spacing w:before="80" w:after="60" w:line="276" w:lineRule="auto"/>
        <w:jc w:val="both"/>
        <w:rPr>
          <w:i/>
          <w:sz w:val="22"/>
          <w:szCs w:val="22"/>
        </w:rPr>
      </w:pPr>
      <w:r w:rsidRPr="00F510FE">
        <w:rPr>
          <w:i/>
          <w:sz w:val="22"/>
          <w:szCs w:val="22"/>
        </w:rPr>
        <w:t>Strategické dokumenty a politiky SR</w:t>
      </w:r>
    </w:p>
    <w:p w14:paraId="0B2C9B6A" w14:textId="117C7D02" w:rsidR="00F01880" w:rsidRPr="00094181" w:rsidRDefault="006E3F06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094181">
        <w:rPr>
          <w:rFonts w:ascii="Arial" w:hAnsi="Arial" w:cs="Arial"/>
        </w:rPr>
        <w:t>Národná stratégia trvalo</w:t>
      </w:r>
      <w:r w:rsidR="00677249">
        <w:rPr>
          <w:rFonts w:ascii="Arial" w:hAnsi="Arial" w:cs="Arial"/>
        </w:rPr>
        <w:t xml:space="preserve"> </w:t>
      </w:r>
      <w:r w:rsidRPr="00094181">
        <w:rPr>
          <w:rFonts w:ascii="Arial" w:hAnsi="Arial" w:cs="Arial"/>
        </w:rPr>
        <w:t>udržateľného rozvoja</w:t>
      </w:r>
      <w:r w:rsidR="00F01880" w:rsidRPr="00094181">
        <w:rPr>
          <w:rFonts w:ascii="Arial" w:hAnsi="Arial" w:cs="Arial"/>
        </w:rPr>
        <w:t>,</w:t>
      </w:r>
    </w:p>
    <w:p w14:paraId="79E21799" w14:textId="71B04B7B" w:rsidR="007C54F5" w:rsidRPr="007C54F5" w:rsidRDefault="007C54F5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1210AA">
        <w:rPr>
          <w:rFonts w:ascii="Arial" w:hAnsi="Arial" w:cs="Arial"/>
        </w:rPr>
        <w:t>Strategický plán rozvoja dopravnej infraštruktúry SR do roku 2020</w:t>
      </w:r>
    </w:p>
    <w:p w14:paraId="7B0B812F" w14:textId="0367E0A3" w:rsidR="007C54F5" w:rsidRPr="007C54F5" w:rsidRDefault="007C54F5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1210AA">
        <w:rPr>
          <w:rFonts w:ascii="Arial" w:hAnsi="Arial" w:cs="Arial"/>
        </w:rPr>
        <w:t>Stratégia rozvoja verejnej osobnej a nemotorovej dopravy SR do roku 2020</w:t>
      </w:r>
    </w:p>
    <w:p w14:paraId="4952F58B" w14:textId="77777777" w:rsidR="006E3F06" w:rsidRPr="00094181" w:rsidRDefault="006E3F06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094181">
        <w:rPr>
          <w:rFonts w:ascii="Arial" w:hAnsi="Arial" w:cs="Arial"/>
        </w:rPr>
        <w:t xml:space="preserve">Národná stratégia rozvoja cyklistickej dopravy a cykloturistiky SR, </w:t>
      </w:r>
    </w:p>
    <w:p w14:paraId="0EA2ACA4" w14:textId="77777777" w:rsidR="006E3F06" w:rsidRPr="00094181" w:rsidRDefault="00137464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094181">
        <w:rPr>
          <w:rFonts w:ascii="Arial" w:hAnsi="Arial" w:cs="Arial"/>
        </w:rPr>
        <w:t>Koncepcia zabezpečenia výkonu súdnych rozhodnutí v zariadeniach sociálnoprávnej ochrany detí a sociálnej kurately detí /Plán transformácie a </w:t>
      </w:r>
      <w:proofErr w:type="spellStart"/>
      <w:r w:rsidRPr="00094181">
        <w:rPr>
          <w:rFonts w:ascii="Arial" w:hAnsi="Arial" w:cs="Arial"/>
        </w:rPr>
        <w:t>deinštitucionalizácie</w:t>
      </w:r>
      <w:proofErr w:type="spellEnd"/>
      <w:r w:rsidRPr="00094181">
        <w:rPr>
          <w:rFonts w:ascii="Arial" w:hAnsi="Arial" w:cs="Arial"/>
        </w:rPr>
        <w:t xml:space="preserve"> náhradnej starostlivosti</w:t>
      </w:r>
      <w:r w:rsidR="006E3F06" w:rsidRPr="00094181">
        <w:rPr>
          <w:rFonts w:ascii="Arial" w:hAnsi="Arial" w:cs="Arial"/>
        </w:rPr>
        <w:t>,</w:t>
      </w:r>
    </w:p>
    <w:p w14:paraId="11C5CC93" w14:textId="77777777" w:rsidR="00F01880" w:rsidRPr="00094181" w:rsidRDefault="006E3F06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094181">
        <w:rPr>
          <w:rFonts w:ascii="Arial" w:hAnsi="Arial" w:cs="Arial"/>
        </w:rPr>
        <w:t>Národný akčný plán prechodu z </w:t>
      </w:r>
      <w:r w:rsidR="00137464" w:rsidRPr="00094181">
        <w:rPr>
          <w:rFonts w:ascii="Arial" w:hAnsi="Arial" w:cs="Arial"/>
        </w:rPr>
        <w:t>inštitucionálnej</w:t>
      </w:r>
      <w:r w:rsidRPr="00094181">
        <w:rPr>
          <w:rFonts w:ascii="Arial" w:hAnsi="Arial" w:cs="Arial"/>
        </w:rPr>
        <w:t xml:space="preserve"> na komunitnú starostlivosť v systéme sociálnych služieb</w:t>
      </w:r>
      <w:r w:rsidR="00F01880" w:rsidRPr="00094181">
        <w:rPr>
          <w:rFonts w:ascii="Arial" w:hAnsi="Arial" w:cs="Arial"/>
        </w:rPr>
        <w:t>,</w:t>
      </w:r>
    </w:p>
    <w:p w14:paraId="683B790E" w14:textId="4CA00183" w:rsidR="00F31CA8" w:rsidRDefault="00F31CA8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F31CA8">
        <w:rPr>
          <w:rFonts w:ascii="Arial" w:hAnsi="Arial" w:cs="Arial"/>
        </w:rPr>
        <w:t>Implementačná stratégia – systém integrovaného poskytovania zdravotnej starostlivosti</w:t>
      </w:r>
    </w:p>
    <w:p w14:paraId="26E26EED" w14:textId="57C64DDE" w:rsidR="007C54F5" w:rsidRPr="007C54F5" w:rsidRDefault="007C54F5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1210AA">
        <w:rPr>
          <w:rFonts w:ascii="Arial" w:hAnsi="Arial" w:cs="Arial"/>
        </w:rPr>
        <w:t>Strategický rámec starostlivosti o zdravie pre roky 2014 – 2020</w:t>
      </w:r>
    </w:p>
    <w:p w14:paraId="6C45D155" w14:textId="77777777" w:rsidR="00F01880" w:rsidRPr="00094181" w:rsidRDefault="00F6675E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094181">
        <w:rPr>
          <w:rFonts w:ascii="Arial" w:hAnsi="Arial" w:cs="Arial"/>
        </w:rPr>
        <w:t xml:space="preserve">Štátne vzdelávacie programy, </w:t>
      </w:r>
    </w:p>
    <w:p w14:paraId="4D7C90FB" w14:textId="77777777" w:rsidR="006E3F06" w:rsidRPr="00094181" w:rsidRDefault="006E3F06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094181">
        <w:rPr>
          <w:rFonts w:ascii="Arial" w:hAnsi="Arial" w:cs="Arial"/>
        </w:rPr>
        <w:t>Koncepcia územného rozvoja Slovenska.</w:t>
      </w:r>
    </w:p>
    <w:p w14:paraId="5A60BEC5" w14:textId="4C836E3F" w:rsidR="007C54F5" w:rsidRDefault="007C54F5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1210AA">
        <w:rPr>
          <w:rFonts w:ascii="Arial" w:hAnsi="Arial" w:cs="Arial"/>
        </w:rPr>
        <w:t>Vodný plán Slovenska</w:t>
      </w:r>
    </w:p>
    <w:p w14:paraId="238863A7" w14:textId="4263B497" w:rsidR="00F31CA8" w:rsidRDefault="00F31CA8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F31CA8">
        <w:rPr>
          <w:rFonts w:ascii="Arial" w:hAnsi="Arial" w:cs="Arial"/>
        </w:rPr>
        <w:t>Plán rozvoja verejných vodovodov pre územie SR</w:t>
      </w:r>
    </w:p>
    <w:p w14:paraId="75DC6E8E" w14:textId="0C1932E8" w:rsidR="007C54F5" w:rsidRDefault="00F31CA8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F31CA8">
        <w:rPr>
          <w:rFonts w:ascii="Arial" w:hAnsi="Arial" w:cs="Arial"/>
        </w:rPr>
        <w:t>Stratégia adaptácie SR na nepriaznivé dôsledky zmeny klímy</w:t>
      </w:r>
    </w:p>
    <w:p w14:paraId="281CCADF" w14:textId="741D2799" w:rsidR="00F818A2" w:rsidRDefault="00F818A2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E16A8C">
        <w:rPr>
          <w:rFonts w:ascii="Arial" w:hAnsi="Arial" w:cs="Arial"/>
        </w:rPr>
        <w:t>Stratégia obnovy fondu bytových a nebytových budov v Slovenskej republike</w:t>
      </w:r>
    </w:p>
    <w:p w14:paraId="280D69E5" w14:textId="38E0EE25" w:rsidR="00F818A2" w:rsidRDefault="00F818A2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E16A8C">
        <w:rPr>
          <w:rFonts w:ascii="Arial" w:hAnsi="Arial" w:cs="Arial"/>
        </w:rPr>
        <w:lastRenderedPageBreak/>
        <w:t>Energetická politika SR</w:t>
      </w:r>
    </w:p>
    <w:p w14:paraId="1A940023" w14:textId="459DDA95" w:rsidR="00F31CA8" w:rsidRDefault="00F818A2" w:rsidP="0087675E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E16A8C">
        <w:rPr>
          <w:rFonts w:ascii="Arial" w:hAnsi="Arial" w:cs="Arial"/>
        </w:rPr>
        <w:t>Národný plán zameraný na zvyšovanie počtu budov s takmer nulovou potrebou energie</w:t>
      </w:r>
    </w:p>
    <w:p w14:paraId="53D76583" w14:textId="77777777" w:rsidR="00BF3AB9" w:rsidRDefault="00BF3AB9" w:rsidP="00BF3AB9">
      <w:pPr>
        <w:pStyle w:val="Odsekzoznamu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36CE06FE" w14:textId="61377CA1" w:rsidR="00E54ACB" w:rsidRPr="00F510FE" w:rsidRDefault="00E7729B" w:rsidP="0087675E">
      <w:pPr>
        <w:spacing w:before="8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8</w:t>
      </w:r>
      <w:r w:rsidR="00D6402D" w:rsidRPr="00F510FE">
        <w:rPr>
          <w:b/>
          <w:bCs/>
          <w:sz w:val="22"/>
          <w:szCs w:val="22"/>
        </w:rPr>
        <w:t>.</w:t>
      </w:r>
      <w:r w:rsidR="00E54ACB" w:rsidRPr="00F510FE">
        <w:rPr>
          <w:b/>
          <w:bCs/>
          <w:sz w:val="22"/>
          <w:szCs w:val="22"/>
        </w:rPr>
        <w:tab/>
        <w:t>Orgán kompetentný na jeho prijatie</w:t>
      </w:r>
    </w:p>
    <w:p w14:paraId="17AB6BCA" w14:textId="5198A493" w:rsidR="00BF3AB9" w:rsidRDefault="00BF3AB9" w:rsidP="00E42DB0">
      <w:p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Monitorovací výbor pre IROP</w:t>
      </w:r>
    </w:p>
    <w:p w14:paraId="242FC83B" w14:textId="2997DCAE" w:rsidR="00FD124E" w:rsidRDefault="00E54ACB" w:rsidP="00E42DB0">
      <w:pPr>
        <w:spacing w:before="80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Európska komisia </w:t>
      </w:r>
    </w:p>
    <w:p w14:paraId="41F9DA06" w14:textId="77777777" w:rsidR="00BF3AB9" w:rsidRPr="00F510FE" w:rsidRDefault="00BF3AB9" w:rsidP="00BF3AB9">
      <w:pPr>
        <w:spacing w:before="80"/>
        <w:ind w:left="284"/>
        <w:jc w:val="both"/>
        <w:rPr>
          <w:sz w:val="22"/>
          <w:szCs w:val="22"/>
        </w:rPr>
      </w:pPr>
    </w:p>
    <w:p w14:paraId="0FF2408E" w14:textId="177BC35E" w:rsidR="00E54ACB" w:rsidRPr="00F510FE" w:rsidRDefault="00E7729B" w:rsidP="0087675E">
      <w:pPr>
        <w:spacing w:before="8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9</w:t>
      </w:r>
      <w:r w:rsidR="00E54ACB" w:rsidRPr="00F510FE">
        <w:rPr>
          <w:b/>
          <w:bCs/>
          <w:sz w:val="22"/>
          <w:szCs w:val="22"/>
        </w:rPr>
        <w:t>.</w:t>
      </w:r>
      <w:r w:rsidR="00E54ACB" w:rsidRPr="00F510FE">
        <w:rPr>
          <w:b/>
          <w:bCs/>
          <w:sz w:val="22"/>
          <w:szCs w:val="22"/>
        </w:rPr>
        <w:tab/>
        <w:t xml:space="preserve">Druh schvaľovacieho procesu dokumentu </w:t>
      </w:r>
    </w:p>
    <w:p w14:paraId="2B83125D" w14:textId="7B7015BD" w:rsidR="00BF3AB9" w:rsidRDefault="00BF3AB9" w:rsidP="00E42DB0">
      <w:pPr>
        <w:spacing w:before="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Uznesenie Monitorovacieho výboru pre IROP</w:t>
      </w:r>
    </w:p>
    <w:p w14:paraId="23AFBD5C" w14:textId="149822FD" w:rsidR="00E54ACB" w:rsidRDefault="00E54ACB" w:rsidP="00E42DB0">
      <w:pPr>
        <w:spacing w:before="80" w:line="276" w:lineRule="auto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Rozhodnutie Európskej komisie</w:t>
      </w:r>
    </w:p>
    <w:p w14:paraId="2A830E35" w14:textId="77777777" w:rsidR="00BF3AB9" w:rsidRPr="00F510FE" w:rsidRDefault="00BF3AB9" w:rsidP="0087675E">
      <w:pPr>
        <w:spacing w:before="80" w:line="276" w:lineRule="auto"/>
        <w:ind w:left="284"/>
        <w:jc w:val="both"/>
        <w:rPr>
          <w:sz w:val="22"/>
          <w:szCs w:val="22"/>
        </w:rPr>
      </w:pPr>
    </w:p>
    <w:p w14:paraId="43267E1A" w14:textId="2C9CAD4A" w:rsidR="00E54ACB" w:rsidRDefault="00E54ACB" w:rsidP="0087675E">
      <w:pPr>
        <w:spacing w:before="80" w:line="276" w:lineRule="auto"/>
        <w:ind w:left="357" w:hanging="357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III.</w:t>
      </w:r>
      <w:r w:rsidRPr="00F510FE">
        <w:rPr>
          <w:b/>
          <w:bCs/>
          <w:sz w:val="22"/>
          <w:szCs w:val="22"/>
        </w:rPr>
        <w:tab/>
        <w:t>Základné údaje o predpokladaných vplyvoch strategického dokumentu na životné prostredie vrátane zdravia</w:t>
      </w:r>
    </w:p>
    <w:p w14:paraId="11B0C89A" w14:textId="77777777" w:rsidR="00E42DB0" w:rsidRPr="00F510FE" w:rsidRDefault="00E42DB0" w:rsidP="0087675E">
      <w:pPr>
        <w:spacing w:before="80" w:line="276" w:lineRule="auto"/>
        <w:ind w:left="357" w:hanging="357"/>
        <w:rPr>
          <w:b/>
          <w:bCs/>
          <w:sz w:val="22"/>
          <w:szCs w:val="22"/>
        </w:rPr>
      </w:pPr>
    </w:p>
    <w:p w14:paraId="11D77DEE" w14:textId="19A1464D" w:rsidR="00E54ACB" w:rsidRDefault="00E54ACB" w:rsidP="0087675E">
      <w:pPr>
        <w:spacing w:before="8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1.</w:t>
      </w:r>
      <w:r w:rsidRPr="00F510FE">
        <w:rPr>
          <w:b/>
          <w:bCs/>
          <w:sz w:val="22"/>
          <w:szCs w:val="22"/>
        </w:rPr>
        <w:tab/>
        <w:t>Požiadavky na vstupy.</w:t>
      </w:r>
    </w:p>
    <w:p w14:paraId="057DDD33" w14:textId="2773F234" w:rsidR="00E54ACB" w:rsidRDefault="00212E3B" w:rsidP="00E42DB0">
      <w:pPr>
        <w:spacing w:before="80" w:line="276" w:lineRule="auto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Vstupy pre IROP predstavujú finančné prostriedky z Európskeho fondu regionálneho rozvoja, štátne</w:t>
      </w:r>
      <w:r w:rsidR="002E202A" w:rsidRPr="00F510FE">
        <w:rPr>
          <w:sz w:val="22"/>
          <w:szCs w:val="22"/>
        </w:rPr>
        <w:t>ho</w:t>
      </w:r>
      <w:r w:rsidRPr="00F510FE">
        <w:rPr>
          <w:sz w:val="22"/>
          <w:szCs w:val="22"/>
        </w:rPr>
        <w:t xml:space="preserve"> rozpočtu </w:t>
      </w:r>
      <w:r w:rsidR="00E42DB0">
        <w:rPr>
          <w:sz w:val="22"/>
          <w:szCs w:val="22"/>
        </w:rPr>
        <w:t>Slovenskej republiky</w:t>
      </w:r>
      <w:r w:rsidRPr="00F510FE">
        <w:rPr>
          <w:sz w:val="22"/>
          <w:szCs w:val="22"/>
        </w:rPr>
        <w:t xml:space="preserve"> a prostriedky z vlastných zdrojov prijímateľov. </w:t>
      </w:r>
    </w:p>
    <w:p w14:paraId="1FB9ADB0" w14:textId="77777777" w:rsidR="00E42DB0" w:rsidRPr="00F510FE" w:rsidRDefault="00E42DB0" w:rsidP="0087675E">
      <w:pPr>
        <w:spacing w:before="80" w:line="276" w:lineRule="auto"/>
        <w:ind w:left="284"/>
        <w:jc w:val="both"/>
        <w:rPr>
          <w:sz w:val="22"/>
          <w:szCs w:val="22"/>
        </w:rPr>
      </w:pPr>
    </w:p>
    <w:p w14:paraId="16EF445B" w14:textId="77777777" w:rsidR="00E54ACB" w:rsidRPr="00F510FE" w:rsidRDefault="00E54ACB" w:rsidP="0087675E">
      <w:pPr>
        <w:spacing w:before="8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2.</w:t>
      </w:r>
      <w:r w:rsidRPr="00F510FE">
        <w:rPr>
          <w:b/>
          <w:bCs/>
          <w:sz w:val="22"/>
          <w:szCs w:val="22"/>
        </w:rPr>
        <w:tab/>
        <w:t>Údaje o výstupoch.</w:t>
      </w:r>
    </w:p>
    <w:p w14:paraId="2DF1E48F" w14:textId="5C791921" w:rsidR="008F1E19" w:rsidRDefault="00E42DB0" w:rsidP="008F1E19">
      <w:pPr>
        <w:spacing w:before="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zmeny </w:t>
      </w:r>
      <w:r w:rsidR="005D4C93">
        <w:rPr>
          <w:sz w:val="22"/>
          <w:szCs w:val="22"/>
        </w:rPr>
        <w:t>IROP, verzia 13.0 je predovšetkým vytvorenie novej prioritnej osi č. 9 FAST CARE a s tým súvisiaca úprava finančného rámca IROP formou interných presunov</w:t>
      </w:r>
      <w:r w:rsidR="008F1E19">
        <w:rPr>
          <w:sz w:val="22"/>
          <w:szCs w:val="22"/>
        </w:rPr>
        <w:t xml:space="preserve"> a úprava cieľových hodnôt vybraných merateľných ukazovateľov</w:t>
      </w:r>
      <w:r w:rsidR="005D4C93">
        <w:rPr>
          <w:sz w:val="22"/>
          <w:szCs w:val="22"/>
        </w:rPr>
        <w:t>.</w:t>
      </w:r>
      <w:r w:rsidR="008F1E19">
        <w:rPr>
          <w:sz w:val="22"/>
          <w:szCs w:val="22"/>
        </w:rPr>
        <w:t xml:space="preserve"> </w:t>
      </w:r>
      <w:r w:rsidR="008F1E19" w:rsidRPr="005D4C93">
        <w:rPr>
          <w:sz w:val="22"/>
          <w:szCs w:val="22"/>
        </w:rPr>
        <w:t>Cieľom týchto zmien a doplnení v</w:t>
      </w:r>
      <w:r w:rsidR="008F1E19">
        <w:rPr>
          <w:sz w:val="22"/>
          <w:szCs w:val="22"/>
        </w:rPr>
        <w:t xml:space="preserve"> IROP </w:t>
      </w:r>
      <w:r w:rsidR="008F1E19" w:rsidRPr="005D4C93">
        <w:rPr>
          <w:sz w:val="22"/>
          <w:szCs w:val="22"/>
        </w:rPr>
        <w:t>je zabezpečiť maximálne využitie disponibilných zdrojov európskych štrukturálnych a investičných fondov na riešenie dôsledkov migračnej vlny súvisiacej s vojenským konfliktom na Ukrajine.</w:t>
      </w:r>
    </w:p>
    <w:p w14:paraId="404792C7" w14:textId="41F4D116" w:rsidR="00E54ACB" w:rsidRDefault="00997776" w:rsidP="00E42DB0">
      <w:pPr>
        <w:spacing w:before="80" w:line="276" w:lineRule="auto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Samotný dokument IROP so sledovaním zmien tvorí prílohu tohto oznámenia</w:t>
      </w:r>
      <w:r w:rsidR="006A5BEB" w:rsidRPr="00F510FE">
        <w:rPr>
          <w:sz w:val="22"/>
          <w:szCs w:val="22"/>
        </w:rPr>
        <w:t xml:space="preserve">, názov prílohy: „Integrovaný regionálny operačný program 2014 – 2020, verzia </w:t>
      </w:r>
      <w:r w:rsidR="008F1E19">
        <w:rPr>
          <w:sz w:val="22"/>
          <w:szCs w:val="22"/>
        </w:rPr>
        <w:t>13</w:t>
      </w:r>
      <w:r w:rsidR="00072B20" w:rsidRPr="00F510FE">
        <w:rPr>
          <w:sz w:val="22"/>
          <w:szCs w:val="22"/>
        </w:rPr>
        <w:t>.0</w:t>
      </w:r>
      <w:r w:rsidR="006A5BEB" w:rsidRPr="00F510FE">
        <w:rPr>
          <w:sz w:val="22"/>
          <w:szCs w:val="22"/>
        </w:rPr>
        <w:t>“</w:t>
      </w:r>
      <w:r w:rsidRPr="00F510FE">
        <w:rPr>
          <w:sz w:val="22"/>
          <w:szCs w:val="22"/>
        </w:rPr>
        <w:t>.</w:t>
      </w:r>
      <w:r w:rsidR="006A5BEB" w:rsidRPr="00F510FE">
        <w:rPr>
          <w:sz w:val="22"/>
          <w:szCs w:val="22"/>
        </w:rPr>
        <w:t xml:space="preserve"> Príloha obsahuje všetky zmeny podľa bod</w:t>
      </w:r>
      <w:r w:rsidR="00E7729B" w:rsidRPr="00F510FE">
        <w:rPr>
          <w:sz w:val="22"/>
          <w:szCs w:val="22"/>
        </w:rPr>
        <w:t>u 4</w:t>
      </w:r>
      <w:r w:rsidR="006A5BEB" w:rsidRPr="00F510FE">
        <w:rPr>
          <w:sz w:val="22"/>
          <w:szCs w:val="22"/>
        </w:rPr>
        <w:t xml:space="preserve"> časti II. tohto dokumentu.</w:t>
      </w:r>
    </w:p>
    <w:p w14:paraId="3B727D89" w14:textId="77777777" w:rsidR="00E42DB0" w:rsidRDefault="00E42DB0" w:rsidP="0087675E">
      <w:pPr>
        <w:spacing w:before="80" w:line="276" w:lineRule="auto"/>
        <w:ind w:left="284"/>
        <w:jc w:val="both"/>
        <w:rPr>
          <w:sz w:val="22"/>
          <w:szCs w:val="22"/>
        </w:rPr>
      </w:pPr>
    </w:p>
    <w:p w14:paraId="0AE555BC" w14:textId="77777777" w:rsidR="00FD124E" w:rsidRPr="00F510FE" w:rsidRDefault="00E54ACB" w:rsidP="0087675E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3.</w:t>
      </w:r>
      <w:r w:rsidRPr="00F510FE">
        <w:rPr>
          <w:b/>
          <w:bCs/>
          <w:sz w:val="22"/>
          <w:szCs w:val="22"/>
        </w:rPr>
        <w:tab/>
        <w:t>Údaje o priamych a nepriamych vplyvoch na životné prostredie.</w:t>
      </w:r>
    </w:p>
    <w:p w14:paraId="551624C5" w14:textId="640C11F6" w:rsidR="001C3089" w:rsidRDefault="00006D35" w:rsidP="00E42DB0">
      <w:pPr>
        <w:widowControl/>
        <w:autoSpaceDE/>
        <w:autoSpaceDN/>
        <w:adjustRightInd/>
        <w:spacing w:before="60" w:line="276" w:lineRule="auto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V súvislosti s predkladaným oznámením je možné očakávať, že priame vplyvy na životné prostredie nebudú odlišné od tých, ktoré boli identifikované v procese posudzovania strategického dokumentu IROP. Zmenou IROP nedochádza k žiadny</w:t>
      </w:r>
      <w:r w:rsidR="00A2796E" w:rsidRPr="00F510FE">
        <w:rPr>
          <w:sz w:val="22"/>
          <w:szCs w:val="22"/>
        </w:rPr>
        <w:t>m</w:t>
      </w:r>
      <w:r w:rsidRPr="00F510FE">
        <w:rPr>
          <w:sz w:val="22"/>
          <w:szCs w:val="22"/>
        </w:rPr>
        <w:t xml:space="preserve"> predpokladaný</w:t>
      </w:r>
      <w:r w:rsidR="00A2796E" w:rsidRPr="00F510FE">
        <w:rPr>
          <w:sz w:val="22"/>
          <w:szCs w:val="22"/>
        </w:rPr>
        <w:t>m</w:t>
      </w:r>
      <w:r w:rsidRPr="00F510FE">
        <w:rPr>
          <w:sz w:val="22"/>
          <w:szCs w:val="22"/>
        </w:rPr>
        <w:t xml:space="preserve"> zásadný</w:t>
      </w:r>
      <w:r w:rsidR="00A2796E" w:rsidRPr="00F510FE">
        <w:rPr>
          <w:sz w:val="22"/>
          <w:szCs w:val="22"/>
        </w:rPr>
        <w:t>m</w:t>
      </w:r>
      <w:r w:rsidRPr="00F510FE">
        <w:rPr>
          <w:sz w:val="22"/>
          <w:szCs w:val="22"/>
        </w:rPr>
        <w:t xml:space="preserve"> zmenám vplyvov na životné prostredie oproti už hodnoteným vplyvom. </w:t>
      </w:r>
    </w:p>
    <w:p w14:paraId="41FE204F" w14:textId="77777777" w:rsidR="00E42DB0" w:rsidRPr="00F510FE" w:rsidRDefault="00E42DB0" w:rsidP="00E42DB0">
      <w:pPr>
        <w:widowControl/>
        <w:autoSpaceDE/>
        <w:autoSpaceDN/>
        <w:adjustRightInd/>
        <w:spacing w:before="60" w:line="276" w:lineRule="auto"/>
        <w:jc w:val="both"/>
        <w:rPr>
          <w:sz w:val="22"/>
          <w:szCs w:val="22"/>
        </w:rPr>
      </w:pPr>
    </w:p>
    <w:p w14:paraId="48A7D666" w14:textId="77777777" w:rsidR="00E54ACB" w:rsidRPr="00F510FE" w:rsidRDefault="00E54ACB" w:rsidP="0087675E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4.</w:t>
      </w:r>
      <w:r w:rsidRPr="00F510FE">
        <w:rPr>
          <w:b/>
          <w:bCs/>
          <w:sz w:val="22"/>
          <w:szCs w:val="22"/>
        </w:rPr>
        <w:tab/>
        <w:t>Vplyv na zdravotný stav obyvateľstva.</w:t>
      </w:r>
    </w:p>
    <w:p w14:paraId="7F4DD936" w14:textId="2D78E180" w:rsidR="00E42DB0" w:rsidRDefault="00997776" w:rsidP="00E42DB0">
      <w:pPr>
        <w:widowControl/>
        <w:autoSpaceDE/>
        <w:autoSpaceDN/>
        <w:adjustRightInd/>
        <w:spacing w:before="60" w:line="276" w:lineRule="auto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Navrhovanými zmenami IROP sa nepredpokladajú vplyvy na zdravotný stav obyvateľstva. </w:t>
      </w:r>
      <w:r w:rsidR="007B1ED9" w:rsidRPr="007B1ED9">
        <w:rPr>
          <w:sz w:val="22"/>
          <w:szCs w:val="22"/>
        </w:rPr>
        <w:t xml:space="preserve">resp. vplyv odlišný od už posúdených vplyvov v rámci SEA procesu </w:t>
      </w:r>
      <w:r w:rsidR="007B1ED9">
        <w:rPr>
          <w:sz w:val="22"/>
          <w:szCs w:val="22"/>
        </w:rPr>
        <w:t>IROP</w:t>
      </w:r>
      <w:r w:rsidR="007B1ED9" w:rsidRPr="007B1ED9">
        <w:rPr>
          <w:sz w:val="22"/>
          <w:szCs w:val="22"/>
        </w:rPr>
        <w:t xml:space="preserve">. </w:t>
      </w:r>
    </w:p>
    <w:p w14:paraId="5B5E8BF9" w14:textId="77777777" w:rsidR="00A508D6" w:rsidRPr="00F510FE" w:rsidRDefault="00A508D6" w:rsidP="00E42DB0">
      <w:pPr>
        <w:widowControl/>
        <w:autoSpaceDE/>
        <w:autoSpaceDN/>
        <w:adjustRightInd/>
        <w:spacing w:before="60" w:line="276" w:lineRule="auto"/>
        <w:jc w:val="both"/>
        <w:rPr>
          <w:sz w:val="22"/>
          <w:szCs w:val="22"/>
        </w:rPr>
      </w:pPr>
    </w:p>
    <w:p w14:paraId="7D0CC8E1" w14:textId="77777777" w:rsidR="00E54ACB" w:rsidRPr="00F510FE" w:rsidRDefault="00E54ACB" w:rsidP="0087675E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lastRenderedPageBreak/>
        <w:t>5.</w:t>
      </w:r>
      <w:r w:rsidRPr="00F510FE">
        <w:rPr>
          <w:b/>
          <w:bCs/>
          <w:sz w:val="22"/>
          <w:szCs w:val="22"/>
        </w:rPr>
        <w:tab/>
        <w:t>Vplyvy na chránené územia (napr. navrhované chránené vtáčie územia, územia európskeho významu, súvislá európska sústava chránených území (Natura 2000), národné parky, chránené krajinné oblasti, chránené vodohospodárske oblasti a pod.) vrátane návrhu opatrení na ich zmiernenie.</w:t>
      </w:r>
    </w:p>
    <w:p w14:paraId="174B673A" w14:textId="160A43E8" w:rsidR="007B1ED9" w:rsidRDefault="00997776" w:rsidP="007B1ED9">
      <w:pPr>
        <w:widowControl/>
        <w:autoSpaceDE/>
        <w:autoSpaceDN/>
        <w:adjustRightInd/>
        <w:spacing w:before="60" w:line="276" w:lineRule="auto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Navrhovanými zmenami IROP sa nepredpokla</w:t>
      </w:r>
      <w:r w:rsidR="007B1ED9">
        <w:rPr>
          <w:sz w:val="22"/>
          <w:szCs w:val="22"/>
        </w:rPr>
        <w:t xml:space="preserve">dajú vplyvy na chránené územia odlišných </w:t>
      </w:r>
      <w:r w:rsidR="007B1ED9" w:rsidRPr="007B1ED9">
        <w:rPr>
          <w:sz w:val="22"/>
          <w:szCs w:val="22"/>
        </w:rPr>
        <w:t xml:space="preserve">od už posúdených vplyvov v rámci SEA procesu </w:t>
      </w:r>
      <w:r w:rsidR="007B1ED9">
        <w:rPr>
          <w:sz w:val="22"/>
          <w:szCs w:val="22"/>
        </w:rPr>
        <w:t>IROP.</w:t>
      </w:r>
      <w:r w:rsidR="007B1ED9" w:rsidRPr="007B1ED9">
        <w:rPr>
          <w:sz w:val="22"/>
          <w:szCs w:val="22"/>
        </w:rPr>
        <w:t xml:space="preserve"> </w:t>
      </w:r>
    </w:p>
    <w:p w14:paraId="7F0CCF74" w14:textId="77777777" w:rsidR="007B1ED9" w:rsidRPr="00F510FE" w:rsidRDefault="007B1ED9" w:rsidP="00E42DB0">
      <w:pPr>
        <w:widowControl/>
        <w:autoSpaceDE/>
        <w:autoSpaceDN/>
        <w:adjustRightInd/>
        <w:spacing w:before="60" w:line="276" w:lineRule="auto"/>
        <w:jc w:val="both"/>
        <w:rPr>
          <w:sz w:val="22"/>
          <w:szCs w:val="22"/>
        </w:rPr>
      </w:pPr>
    </w:p>
    <w:p w14:paraId="302948A5" w14:textId="77777777" w:rsidR="00E54ACB" w:rsidRPr="00F510FE" w:rsidRDefault="00E54ACB" w:rsidP="0087675E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6.</w:t>
      </w:r>
      <w:r w:rsidRPr="00F510FE">
        <w:rPr>
          <w:b/>
          <w:bCs/>
          <w:sz w:val="22"/>
          <w:szCs w:val="22"/>
        </w:rPr>
        <w:tab/>
        <w:t>Možné riziká súvisiace s uplatňovaním strategického materiálu.</w:t>
      </w:r>
    </w:p>
    <w:p w14:paraId="0E8535B6" w14:textId="53DEA1FD" w:rsidR="00E54ACB" w:rsidRDefault="00997776" w:rsidP="00E42DB0">
      <w:pPr>
        <w:widowControl/>
        <w:autoSpaceDE/>
        <w:autoSpaceDN/>
        <w:adjustRightInd/>
        <w:spacing w:before="60" w:line="276" w:lineRule="auto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Navrhovanými zmenami IROP sa nepredpokladajú </w:t>
      </w:r>
      <w:r w:rsidR="00E7729B" w:rsidRPr="00F510FE">
        <w:rPr>
          <w:sz w:val="22"/>
          <w:szCs w:val="22"/>
        </w:rPr>
        <w:t>významnejšie riziká spojené s </w:t>
      </w:r>
      <w:r w:rsidR="00E54ACB" w:rsidRPr="00F510FE">
        <w:rPr>
          <w:sz w:val="22"/>
          <w:szCs w:val="22"/>
        </w:rPr>
        <w:t>uplatňovaním strategického materiálu vo vzťahu k životnému prostrediu.</w:t>
      </w:r>
    </w:p>
    <w:p w14:paraId="1EF950C9" w14:textId="77777777" w:rsidR="00E42DB0" w:rsidRPr="00F510FE" w:rsidRDefault="00E42DB0" w:rsidP="00E42DB0">
      <w:pPr>
        <w:widowControl/>
        <w:autoSpaceDE/>
        <w:autoSpaceDN/>
        <w:adjustRightInd/>
        <w:spacing w:before="60" w:line="276" w:lineRule="auto"/>
        <w:jc w:val="both"/>
        <w:rPr>
          <w:sz w:val="22"/>
          <w:szCs w:val="22"/>
        </w:rPr>
      </w:pPr>
    </w:p>
    <w:p w14:paraId="3139EC2F" w14:textId="77777777" w:rsidR="00E54ACB" w:rsidRPr="00F510FE" w:rsidRDefault="00E54ACB" w:rsidP="0087675E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7.</w:t>
      </w:r>
      <w:r w:rsidRPr="00F510FE">
        <w:rPr>
          <w:b/>
          <w:bCs/>
          <w:sz w:val="22"/>
          <w:szCs w:val="22"/>
        </w:rPr>
        <w:tab/>
        <w:t>Vplyvy na životné prostredie presahujúce štátne hranice.</w:t>
      </w:r>
    </w:p>
    <w:p w14:paraId="37B01C28" w14:textId="07CA4EE5" w:rsidR="00EA5D78" w:rsidRDefault="00997776" w:rsidP="00EA5D78">
      <w:pPr>
        <w:widowControl/>
        <w:autoSpaceDE/>
        <w:autoSpaceDN/>
        <w:adjustRightInd/>
        <w:spacing w:before="60" w:line="276" w:lineRule="auto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Navrhované zmeny IROP nepredpokladajú vplyv </w:t>
      </w:r>
      <w:r w:rsidR="00A52346" w:rsidRPr="00F510FE">
        <w:rPr>
          <w:sz w:val="22"/>
          <w:szCs w:val="22"/>
        </w:rPr>
        <w:t>na životné prostredie presahujúce hranice štátu</w:t>
      </w:r>
      <w:r w:rsidR="00EA5D78" w:rsidRPr="00EA5D78">
        <w:rPr>
          <w:sz w:val="22"/>
          <w:szCs w:val="22"/>
        </w:rPr>
        <w:t xml:space="preserve"> </w:t>
      </w:r>
      <w:r w:rsidR="00EA5D78">
        <w:rPr>
          <w:sz w:val="22"/>
          <w:szCs w:val="22"/>
        </w:rPr>
        <w:t xml:space="preserve">odlišných </w:t>
      </w:r>
      <w:r w:rsidR="00EA5D78" w:rsidRPr="007B1ED9">
        <w:rPr>
          <w:sz w:val="22"/>
          <w:szCs w:val="22"/>
        </w:rPr>
        <w:t xml:space="preserve">od už posúdených vplyvov v rámci SEA procesu </w:t>
      </w:r>
      <w:r w:rsidR="00EA5D78">
        <w:rPr>
          <w:sz w:val="22"/>
          <w:szCs w:val="22"/>
        </w:rPr>
        <w:t>IROP.</w:t>
      </w:r>
      <w:r w:rsidR="00EA5D78" w:rsidRPr="007B1ED9">
        <w:rPr>
          <w:sz w:val="22"/>
          <w:szCs w:val="22"/>
        </w:rPr>
        <w:t xml:space="preserve"> </w:t>
      </w:r>
    </w:p>
    <w:p w14:paraId="1CE379E3" w14:textId="77777777" w:rsidR="00EA5D78" w:rsidRPr="00F510FE" w:rsidRDefault="00EA5D78" w:rsidP="00E42DB0">
      <w:pPr>
        <w:widowControl/>
        <w:autoSpaceDE/>
        <w:autoSpaceDN/>
        <w:adjustRightInd/>
        <w:spacing w:before="60" w:line="276" w:lineRule="auto"/>
        <w:jc w:val="both"/>
        <w:rPr>
          <w:sz w:val="22"/>
          <w:szCs w:val="22"/>
        </w:rPr>
      </w:pPr>
    </w:p>
    <w:p w14:paraId="750D36A8" w14:textId="77777777" w:rsidR="00E54ACB" w:rsidRPr="00F510FE" w:rsidRDefault="00E54ACB" w:rsidP="0087675E">
      <w:pPr>
        <w:spacing w:before="240" w:line="276" w:lineRule="auto"/>
        <w:ind w:left="357" w:hanging="357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IV.</w:t>
      </w:r>
      <w:r w:rsidRPr="00F510FE">
        <w:rPr>
          <w:b/>
          <w:bCs/>
          <w:sz w:val="22"/>
          <w:szCs w:val="22"/>
        </w:rPr>
        <w:tab/>
        <w:t>Dotknuté subjekty</w:t>
      </w:r>
      <w:r w:rsidR="005A0A06" w:rsidRPr="00F510FE">
        <w:rPr>
          <w:b/>
          <w:bCs/>
          <w:sz w:val="22"/>
          <w:szCs w:val="22"/>
        </w:rPr>
        <w:t xml:space="preserve"> </w:t>
      </w:r>
    </w:p>
    <w:p w14:paraId="131F22B9" w14:textId="6DB886FC" w:rsidR="00E54ACB" w:rsidRDefault="00954B72" w:rsidP="0087675E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1</w:t>
      </w:r>
      <w:r w:rsidRPr="00F510FE">
        <w:rPr>
          <w:b/>
          <w:bCs/>
          <w:sz w:val="22"/>
          <w:szCs w:val="22"/>
        </w:rPr>
        <w:tab/>
      </w:r>
      <w:r w:rsidR="00E54ACB" w:rsidRPr="00F510FE">
        <w:rPr>
          <w:b/>
          <w:bCs/>
          <w:sz w:val="22"/>
          <w:szCs w:val="22"/>
        </w:rPr>
        <w:t>Vymedzenie zainteresovanej verejnosti vrátane jej združení.</w:t>
      </w:r>
    </w:p>
    <w:p w14:paraId="1A51C838" w14:textId="6CF8FE0D" w:rsidR="00EA5D78" w:rsidRDefault="00EA5D78" w:rsidP="00EA5D78">
      <w:pPr>
        <w:spacing w:before="120" w:line="276" w:lineRule="auto"/>
        <w:jc w:val="both"/>
        <w:rPr>
          <w:sz w:val="22"/>
          <w:szCs w:val="22"/>
        </w:rPr>
      </w:pPr>
      <w:r w:rsidRPr="00EA5D78">
        <w:rPr>
          <w:sz w:val="22"/>
          <w:szCs w:val="22"/>
        </w:rPr>
        <w:t>Účasť pri posudzovaní vplyvov zmeny strategického dokumentu s celoštátnym dosahom sa</w:t>
      </w:r>
      <w:r>
        <w:rPr>
          <w:sz w:val="22"/>
          <w:szCs w:val="22"/>
        </w:rPr>
        <w:t xml:space="preserve"> </w:t>
      </w:r>
      <w:r w:rsidRPr="00EA5D78">
        <w:rPr>
          <w:sz w:val="22"/>
          <w:szCs w:val="22"/>
        </w:rPr>
        <w:t>umožní zainteresovanej verejnosti podľa § 6a zákona č. 24/2006 Z. z., teda napr. fyzická osoba staršia ako 18 rokov, právnická osoba a občianska iniciatíva, ktorá spĺňa podmienky podľa § 6a ods. 3 zákona č. 24/2006 Z. z.</w:t>
      </w:r>
    </w:p>
    <w:p w14:paraId="61C5F29B" w14:textId="77777777" w:rsidR="00E42DB0" w:rsidRPr="00F510FE" w:rsidRDefault="00E42DB0" w:rsidP="00E42DB0">
      <w:pPr>
        <w:pStyle w:val="Odsekzoznamu"/>
        <w:tabs>
          <w:tab w:val="left" w:pos="1440"/>
        </w:tabs>
        <w:spacing w:before="40" w:after="0"/>
        <w:ind w:left="426"/>
        <w:contextualSpacing w:val="0"/>
        <w:jc w:val="both"/>
        <w:rPr>
          <w:rFonts w:ascii="Arial" w:hAnsi="Arial" w:cs="Arial"/>
        </w:rPr>
      </w:pPr>
    </w:p>
    <w:p w14:paraId="06BFBE86" w14:textId="54D72828" w:rsidR="00E54ACB" w:rsidRPr="00F510FE" w:rsidRDefault="00954B72" w:rsidP="0087675E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2</w:t>
      </w:r>
      <w:r w:rsidRPr="00F510FE">
        <w:rPr>
          <w:b/>
          <w:bCs/>
          <w:sz w:val="22"/>
          <w:szCs w:val="22"/>
        </w:rPr>
        <w:tab/>
      </w:r>
      <w:r w:rsidR="00E54ACB" w:rsidRPr="00F510FE">
        <w:rPr>
          <w:b/>
          <w:bCs/>
          <w:sz w:val="22"/>
          <w:szCs w:val="22"/>
        </w:rPr>
        <w:t>Zoznam dotknutých subjektov.</w:t>
      </w:r>
    </w:p>
    <w:p w14:paraId="58EC140F" w14:textId="77777777" w:rsidR="00EA5D78" w:rsidRPr="00EA5D78" w:rsidRDefault="00EA5D78" w:rsidP="00EA5D78">
      <w:pPr>
        <w:spacing w:before="120" w:line="276" w:lineRule="auto"/>
        <w:jc w:val="both"/>
        <w:rPr>
          <w:sz w:val="22"/>
          <w:szCs w:val="22"/>
        </w:rPr>
      </w:pPr>
    </w:p>
    <w:p w14:paraId="73CA6FCB" w14:textId="77777777" w:rsidR="00EA5D78" w:rsidRPr="00F510FE" w:rsidRDefault="00EA5D78" w:rsidP="00EA5D78">
      <w:pPr>
        <w:pStyle w:val="Odsekzoznamu"/>
        <w:numPr>
          <w:ilvl w:val="0"/>
          <w:numId w:val="2"/>
        </w:numPr>
        <w:tabs>
          <w:tab w:val="left" w:pos="1440"/>
        </w:tabs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Orgány štátnej správy</w:t>
      </w:r>
    </w:p>
    <w:p w14:paraId="382FB19D" w14:textId="77777777" w:rsidR="00EA5D78" w:rsidRPr="00F510FE" w:rsidRDefault="00EA5D78" w:rsidP="00EA5D78">
      <w:pPr>
        <w:pStyle w:val="Odsekzoznamu"/>
        <w:numPr>
          <w:ilvl w:val="0"/>
          <w:numId w:val="2"/>
        </w:numPr>
        <w:tabs>
          <w:tab w:val="left" w:pos="1440"/>
        </w:tabs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Samosprávne kraje</w:t>
      </w:r>
    </w:p>
    <w:p w14:paraId="18BD990C" w14:textId="77777777" w:rsidR="00EA5D78" w:rsidRPr="00F510FE" w:rsidRDefault="00EA5D78" w:rsidP="00EA5D78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Mestá, obce</w:t>
      </w:r>
    </w:p>
    <w:p w14:paraId="3CA52000" w14:textId="77777777" w:rsidR="00EA5D78" w:rsidRPr="00F510FE" w:rsidRDefault="00EA5D78" w:rsidP="00EA5D78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Združenia miest a obcí</w:t>
      </w:r>
    </w:p>
    <w:p w14:paraId="25C97425" w14:textId="77777777" w:rsidR="00EA5D78" w:rsidRPr="00F510FE" w:rsidRDefault="00EA5D78" w:rsidP="00EA5D78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Príspevkové a rozpočtové organizácie štátu, samosprávnych krajov, mestá a obcí</w:t>
      </w:r>
    </w:p>
    <w:p w14:paraId="3C79889B" w14:textId="77777777" w:rsidR="00EA5D78" w:rsidRPr="00F510FE" w:rsidRDefault="00EA5D78" w:rsidP="00EA5D78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Záujmové združenia právnických osôb (§ 20, písm. f Občianskeho zákonníka)</w:t>
      </w:r>
    </w:p>
    <w:p w14:paraId="1D7A81FF" w14:textId="77777777" w:rsidR="00EA5D78" w:rsidRPr="00F510FE" w:rsidRDefault="00EA5D78" w:rsidP="00EA5D78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Materské, základné a stredné odborné školy, učilištia</w:t>
      </w:r>
    </w:p>
    <w:p w14:paraId="7FD9C563" w14:textId="77777777" w:rsidR="00EA5D78" w:rsidRPr="00F510FE" w:rsidRDefault="00EA5D78" w:rsidP="00EA5D78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Občianske združenia</w:t>
      </w:r>
    </w:p>
    <w:p w14:paraId="6076582E" w14:textId="77777777" w:rsidR="00EA5D78" w:rsidRPr="00F510FE" w:rsidRDefault="00EA5D78" w:rsidP="00EA5D78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Nadácie</w:t>
      </w:r>
    </w:p>
    <w:p w14:paraId="3721C83C" w14:textId="77777777" w:rsidR="00EA5D78" w:rsidRPr="00F510FE" w:rsidRDefault="00EA5D78" w:rsidP="00EA5D78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Neziskové organizácie poskytujúce verejnoprospešné služby</w:t>
      </w:r>
    </w:p>
    <w:p w14:paraId="260B7260" w14:textId="77777777" w:rsidR="00EA5D78" w:rsidRPr="00F510FE" w:rsidRDefault="00EA5D78" w:rsidP="00EA5D78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Neinvestičné fondy</w:t>
      </w:r>
    </w:p>
    <w:p w14:paraId="202F98C8" w14:textId="77777777" w:rsidR="00EA5D78" w:rsidRPr="00F510FE" w:rsidRDefault="00EA5D78" w:rsidP="00EA5D78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Krajské školské úrady (nimi zriadené osobitné školy)</w:t>
      </w:r>
    </w:p>
    <w:p w14:paraId="5D04E435" w14:textId="77777777" w:rsidR="00EA5D78" w:rsidRPr="00F510FE" w:rsidRDefault="00EA5D78" w:rsidP="00EA5D78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Súkromné a cirkevné školy</w:t>
      </w:r>
    </w:p>
    <w:p w14:paraId="1FB39DE5" w14:textId="77777777" w:rsidR="00EA5D78" w:rsidRPr="00F510FE" w:rsidRDefault="00EA5D78" w:rsidP="00EA5D78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Združenie, zväzok, spolok</w:t>
      </w:r>
    </w:p>
    <w:p w14:paraId="48BD2F76" w14:textId="77777777" w:rsidR="00EA5D78" w:rsidRPr="00F510FE" w:rsidRDefault="00EA5D78" w:rsidP="00EA5D78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lastRenderedPageBreak/>
        <w:t xml:space="preserve">Cirkvi a náboženské spoločnosti </w:t>
      </w:r>
    </w:p>
    <w:p w14:paraId="1CD29078" w14:textId="77777777" w:rsidR="00EA5D78" w:rsidRPr="00F510FE" w:rsidRDefault="00EA5D78" w:rsidP="00EA5D78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Fyzické a právnické osoby</w:t>
      </w:r>
    </w:p>
    <w:p w14:paraId="54FD13D3" w14:textId="77777777" w:rsidR="00EA5D78" w:rsidRPr="00F510FE" w:rsidRDefault="00EA5D78" w:rsidP="00EA5D78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Regionálne združenia</w:t>
      </w:r>
    </w:p>
    <w:p w14:paraId="0BEE6364" w14:textId="77777777" w:rsidR="00EA5D78" w:rsidRPr="00F510FE" w:rsidRDefault="00EA5D78" w:rsidP="00EA5D78">
      <w:pPr>
        <w:pStyle w:val="Odsekzoznamu"/>
        <w:numPr>
          <w:ilvl w:val="0"/>
          <w:numId w:val="2"/>
        </w:numPr>
        <w:tabs>
          <w:tab w:val="left" w:pos="1440"/>
        </w:tabs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Záujmové skupiny</w:t>
      </w:r>
    </w:p>
    <w:p w14:paraId="5367AFB8" w14:textId="77777777" w:rsidR="00EA5D78" w:rsidRDefault="00EA5D78" w:rsidP="00EA5D78">
      <w:pPr>
        <w:pStyle w:val="Odsekzoznamu"/>
        <w:numPr>
          <w:ilvl w:val="0"/>
          <w:numId w:val="2"/>
        </w:numPr>
        <w:tabs>
          <w:tab w:val="left" w:pos="1440"/>
        </w:tabs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Slovenský červený kríž</w:t>
      </w:r>
    </w:p>
    <w:p w14:paraId="4FEF4C02" w14:textId="77777777" w:rsidR="00EA5D78" w:rsidRDefault="00EA5D78" w:rsidP="00E42DB0">
      <w:pPr>
        <w:spacing w:before="80" w:line="276" w:lineRule="auto"/>
        <w:jc w:val="both"/>
        <w:rPr>
          <w:sz w:val="22"/>
          <w:szCs w:val="22"/>
        </w:rPr>
      </w:pPr>
    </w:p>
    <w:p w14:paraId="3C64F246" w14:textId="77777777" w:rsidR="00E54ACB" w:rsidRPr="00F510FE" w:rsidRDefault="00E54ACB" w:rsidP="0087675E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3.</w:t>
      </w:r>
      <w:r w:rsidRPr="00F510FE">
        <w:rPr>
          <w:b/>
          <w:bCs/>
          <w:sz w:val="22"/>
          <w:szCs w:val="22"/>
        </w:rPr>
        <w:tab/>
        <w:t>Dotknuté susedné štáty.</w:t>
      </w:r>
    </w:p>
    <w:p w14:paraId="676AFCA0" w14:textId="599517C6" w:rsidR="00E54ACB" w:rsidRDefault="00A52346" w:rsidP="00E42DB0">
      <w:pPr>
        <w:spacing w:before="80" w:line="276" w:lineRule="auto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Nepredpokladá sa</w:t>
      </w:r>
      <w:r w:rsidR="0067398D" w:rsidRPr="00F510FE">
        <w:rPr>
          <w:sz w:val="22"/>
          <w:szCs w:val="22"/>
        </w:rPr>
        <w:t xml:space="preserve">, že by navrhovanými zmenami IROP mohli byť dotknuté </w:t>
      </w:r>
      <w:r w:rsidRPr="00F510FE">
        <w:rPr>
          <w:sz w:val="22"/>
          <w:szCs w:val="22"/>
        </w:rPr>
        <w:t>susedné štáty</w:t>
      </w:r>
      <w:r w:rsidR="0067398D" w:rsidRPr="00F510FE">
        <w:rPr>
          <w:sz w:val="22"/>
          <w:szCs w:val="22"/>
        </w:rPr>
        <w:t>.</w:t>
      </w:r>
      <w:r w:rsidR="00EA5D78" w:rsidRPr="00EA5D78">
        <w:rPr>
          <w:sz w:val="22"/>
          <w:szCs w:val="22"/>
        </w:rPr>
        <w:t xml:space="preserve"> Všetky cezhraničné vplyvy boli zhodnotené v rámci posudzovania vplyvov </w:t>
      </w:r>
      <w:r w:rsidR="00EA5D78">
        <w:rPr>
          <w:sz w:val="22"/>
          <w:szCs w:val="22"/>
        </w:rPr>
        <w:t>IROP</w:t>
      </w:r>
      <w:r w:rsidR="00EA5D78" w:rsidRPr="00EA5D78">
        <w:rPr>
          <w:sz w:val="22"/>
          <w:szCs w:val="22"/>
        </w:rPr>
        <w:t>, pričom nedochádza k takým zmenám, ktoré by mali vplyv na zmenu charakteru vplyvov presahujúcich štátne hranice.</w:t>
      </w:r>
    </w:p>
    <w:p w14:paraId="47BDDB13" w14:textId="77777777" w:rsidR="00A508D6" w:rsidRDefault="00A508D6" w:rsidP="00E42DB0">
      <w:pPr>
        <w:spacing w:before="80" w:line="276" w:lineRule="auto"/>
        <w:jc w:val="both"/>
        <w:rPr>
          <w:sz w:val="22"/>
          <w:szCs w:val="22"/>
        </w:rPr>
      </w:pPr>
    </w:p>
    <w:p w14:paraId="27B2F60F" w14:textId="77777777" w:rsidR="00E54ACB" w:rsidRPr="00F510FE" w:rsidRDefault="00E54ACB" w:rsidP="0087675E">
      <w:pPr>
        <w:spacing w:before="240" w:line="276" w:lineRule="auto"/>
        <w:ind w:left="357" w:hanging="357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V.</w:t>
      </w:r>
      <w:r w:rsidRPr="00F510FE">
        <w:rPr>
          <w:b/>
          <w:bCs/>
          <w:sz w:val="22"/>
          <w:szCs w:val="22"/>
        </w:rPr>
        <w:tab/>
        <w:t>Doplňujúce údaje</w:t>
      </w:r>
    </w:p>
    <w:p w14:paraId="01BBCB73" w14:textId="77777777" w:rsidR="00E54ACB" w:rsidRPr="00F510FE" w:rsidRDefault="00E54ACB" w:rsidP="0087675E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1.</w:t>
      </w:r>
      <w:r w:rsidRPr="00F510FE">
        <w:rPr>
          <w:b/>
          <w:bCs/>
          <w:sz w:val="22"/>
          <w:szCs w:val="22"/>
        </w:rPr>
        <w:tab/>
        <w:t>Mapová a iná grafická dokumentácia (napr. výkres širších vzťahov v mierke primeranej charakteru a pôsobnosti strategického dokumentu).</w:t>
      </w:r>
    </w:p>
    <w:p w14:paraId="5A1E43AE" w14:textId="32604D66" w:rsidR="00296590" w:rsidRDefault="0067398D" w:rsidP="00E42DB0">
      <w:pPr>
        <w:widowControl/>
        <w:autoSpaceDE/>
        <w:autoSpaceDN/>
        <w:adjustRightInd/>
        <w:spacing w:before="60" w:line="276" w:lineRule="auto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Predkladané oznámenie neobsahuje mapo</w:t>
      </w:r>
      <w:r w:rsidR="00EA5D78">
        <w:rPr>
          <w:sz w:val="22"/>
          <w:szCs w:val="22"/>
        </w:rPr>
        <w:t xml:space="preserve">vé a iné grafické dokumentácie </w:t>
      </w:r>
      <w:r w:rsidR="00EA5D78" w:rsidRPr="00EA5D78">
        <w:rPr>
          <w:sz w:val="22"/>
          <w:szCs w:val="22"/>
        </w:rPr>
        <w:t>s výnimkou prílohy, ktorou je podľa § 5 ods. 6 zákona č. 24/2006 Z. z. strategický dokument s vyznačením navrhovanej zmeny.</w:t>
      </w:r>
    </w:p>
    <w:p w14:paraId="3385FE73" w14:textId="77777777" w:rsidR="00EA5D78" w:rsidRPr="00F510FE" w:rsidRDefault="00EA5D78" w:rsidP="00E42DB0">
      <w:pPr>
        <w:widowControl/>
        <w:autoSpaceDE/>
        <w:autoSpaceDN/>
        <w:adjustRightInd/>
        <w:spacing w:before="60" w:line="276" w:lineRule="auto"/>
        <w:jc w:val="both"/>
        <w:rPr>
          <w:sz w:val="22"/>
          <w:szCs w:val="22"/>
        </w:rPr>
      </w:pPr>
    </w:p>
    <w:p w14:paraId="54A34384" w14:textId="77777777" w:rsidR="00E54ACB" w:rsidRPr="00F510FE" w:rsidRDefault="00E54ACB" w:rsidP="0087675E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2.</w:t>
      </w:r>
      <w:r w:rsidRPr="00F510FE">
        <w:rPr>
          <w:b/>
          <w:bCs/>
          <w:sz w:val="22"/>
          <w:szCs w:val="22"/>
        </w:rPr>
        <w:tab/>
        <w:t>Materiály použité pri vypracovaní strategického dokumentu.</w:t>
      </w:r>
    </w:p>
    <w:p w14:paraId="48DFC66A" w14:textId="21713A4C" w:rsidR="004F75D7" w:rsidRDefault="00334F62" w:rsidP="0087675E">
      <w:pPr>
        <w:pStyle w:val="Odsekzoznamu"/>
        <w:numPr>
          <w:ilvl w:val="0"/>
          <w:numId w:val="2"/>
        </w:numPr>
        <w:tabs>
          <w:tab w:val="left" w:pos="1440"/>
        </w:tabs>
        <w:spacing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Nariadenie Európskeho parlamentu a Rady (EÚ) č. 1303/2013, ktorým sa stanovuje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 a ktorým sa zrušuje nariadenie</w:t>
      </w:r>
      <w:r w:rsidR="00D47BB5">
        <w:rPr>
          <w:rFonts w:ascii="Arial" w:hAnsi="Arial" w:cs="Arial"/>
        </w:rPr>
        <w:t xml:space="preserve"> Rady (ES) č. 1083/2006)</w:t>
      </w:r>
      <w:r w:rsidR="00744056">
        <w:rPr>
          <w:rFonts w:ascii="Arial" w:hAnsi="Arial" w:cs="Arial"/>
        </w:rPr>
        <w:t>;</w:t>
      </w:r>
    </w:p>
    <w:p w14:paraId="0FD62797" w14:textId="097F5873" w:rsidR="00EA5D78" w:rsidRDefault="00EA5D78" w:rsidP="0087675E">
      <w:pPr>
        <w:pStyle w:val="Odsekzoznamu"/>
        <w:numPr>
          <w:ilvl w:val="0"/>
          <w:numId w:val="2"/>
        </w:numPr>
        <w:tabs>
          <w:tab w:val="left" w:pos="1440"/>
        </w:tabs>
        <w:spacing w:after="0"/>
        <w:ind w:left="426" w:hanging="142"/>
        <w:contextualSpacing w:val="0"/>
        <w:jc w:val="both"/>
        <w:rPr>
          <w:rFonts w:ascii="Arial" w:hAnsi="Arial" w:cs="Arial"/>
        </w:rPr>
      </w:pPr>
      <w:r w:rsidRPr="00EA5D78">
        <w:rPr>
          <w:rFonts w:ascii="Arial" w:hAnsi="Arial" w:cs="Arial"/>
        </w:rPr>
        <w:t>Nariadenie Európskeho parlamentu a Rady (EÚ) 2022/2039 z 19. októbra 2022, ktorým sa menia nariadenia (EÚ) č. 1303/2013 a (EÚ) 2021/1060, pokiaľ ide o dodatočnú flexibilitu na riešenie dôsledkov vojenskej agresie Ruskej federácie FAST (Flexibilná pomoc územiam) – CARE</w:t>
      </w:r>
      <w:r>
        <w:rPr>
          <w:rFonts w:ascii="Arial" w:hAnsi="Arial" w:cs="Arial"/>
        </w:rPr>
        <w:t>.</w:t>
      </w:r>
    </w:p>
    <w:p w14:paraId="7570FB2E" w14:textId="77777777" w:rsidR="00A508D6" w:rsidRDefault="00A508D6" w:rsidP="00A508D6">
      <w:pPr>
        <w:pStyle w:val="Odsekzoznamu"/>
        <w:tabs>
          <w:tab w:val="left" w:pos="1440"/>
        </w:tabs>
        <w:spacing w:after="0"/>
        <w:ind w:left="426"/>
        <w:contextualSpacing w:val="0"/>
        <w:jc w:val="both"/>
        <w:rPr>
          <w:rFonts w:ascii="Arial" w:hAnsi="Arial" w:cs="Arial"/>
        </w:rPr>
      </w:pPr>
    </w:p>
    <w:p w14:paraId="49418483" w14:textId="77777777" w:rsidR="00E54ACB" w:rsidRPr="00F510FE" w:rsidRDefault="00E54ACB" w:rsidP="00DC39FD">
      <w:pPr>
        <w:spacing w:before="240" w:line="276" w:lineRule="auto"/>
        <w:ind w:left="357" w:hanging="357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VI.</w:t>
      </w:r>
      <w:r w:rsidRPr="00F510FE">
        <w:rPr>
          <w:b/>
          <w:bCs/>
          <w:sz w:val="22"/>
          <w:szCs w:val="22"/>
        </w:rPr>
        <w:tab/>
        <w:t>Miesto a dátum vypracovania oznámenia.</w:t>
      </w:r>
    </w:p>
    <w:p w14:paraId="2613AC04" w14:textId="22752D7D" w:rsidR="00E54ACB" w:rsidRDefault="00E54ACB" w:rsidP="00E42DB0">
      <w:pPr>
        <w:spacing w:before="80" w:line="276" w:lineRule="auto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Bratislava, </w:t>
      </w:r>
      <w:r w:rsidR="00E42DB0">
        <w:rPr>
          <w:sz w:val="22"/>
          <w:szCs w:val="22"/>
        </w:rPr>
        <w:t>06</w:t>
      </w:r>
      <w:r w:rsidR="00597B23">
        <w:rPr>
          <w:sz w:val="22"/>
          <w:szCs w:val="22"/>
        </w:rPr>
        <w:t>.</w:t>
      </w:r>
      <w:r w:rsidR="00E42DB0">
        <w:rPr>
          <w:sz w:val="22"/>
          <w:szCs w:val="22"/>
        </w:rPr>
        <w:t>03</w:t>
      </w:r>
      <w:r w:rsidR="00744056">
        <w:rPr>
          <w:sz w:val="22"/>
          <w:szCs w:val="22"/>
        </w:rPr>
        <w:t>.</w:t>
      </w:r>
      <w:r w:rsidR="00E42DB0">
        <w:rPr>
          <w:sz w:val="22"/>
          <w:szCs w:val="22"/>
        </w:rPr>
        <w:t>2023</w:t>
      </w:r>
    </w:p>
    <w:p w14:paraId="045EE5B6" w14:textId="77777777" w:rsidR="00A508D6" w:rsidRPr="00F510FE" w:rsidRDefault="00A508D6" w:rsidP="00E42DB0">
      <w:pPr>
        <w:spacing w:before="80" w:line="276" w:lineRule="auto"/>
        <w:jc w:val="both"/>
        <w:rPr>
          <w:b/>
          <w:color w:val="FF0000"/>
          <w:sz w:val="22"/>
          <w:szCs w:val="22"/>
        </w:rPr>
      </w:pPr>
    </w:p>
    <w:p w14:paraId="2A4A86A6" w14:textId="77777777" w:rsidR="00E54ACB" w:rsidRPr="00F510FE" w:rsidRDefault="00E54ACB" w:rsidP="00DC39FD">
      <w:pPr>
        <w:spacing w:before="240" w:line="276" w:lineRule="auto"/>
        <w:ind w:left="357" w:hanging="357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VII.</w:t>
      </w:r>
      <w:r w:rsidRPr="00F510FE">
        <w:rPr>
          <w:b/>
          <w:bCs/>
          <w:sz w:val="22"/>
          <w:szCs w:val="22"/>
        </w:rPr>
        <w:tab/>
        <w:t>Potvrdenie správnosti údajov</w:t>
      </w:r>
    </w:p>
    <w:p w14:paraId="41EE867B" w14:textId="77777777" w:rsidR="00E54ACB" w:rsidRPr="00F510FE" w:rsidRDefault="00E54ACB" w:rsidP="00DC39FD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1.</w:t>
      </w:r>
      <w:r w:rsidRPr="00F510FE">
        <w:rPr>
          <w:b/>
          <w:bCs/>
          <w:sz w:val="22"/>
          <w:szCs w:val="22"/>
        </w:rPr>
        <w:tab/>
        <w:t>Meno spracovateľa oznámenia.</w:t>
      </w:r>
    </w:p>
    <w:p w14:paraId="6FAE5802" w14:textId="77777777" w:rsidR="0067398D" w:rsidRPr="00F510FE" w:rsidRDefault="0067398D" w:rsidP="00DC39FD">
      <w:pPr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Ing. Elena Chrenková Kušnírová</w:t>
      </w:r>
    </w:p>
    <w:p w14:paraId="0E732ADB" w14:textId="77777777" w:rsidR="0067398D" w:rsidRPr="00F510FE" w:rsidRDefault="0067398D" w:rsidP="00DC39FD">
      <w:pPr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vedúca oddelenia programovania</w:t>
      </w:r>
    </w:p>
    <w:p w14:paraId="733FDD36" w14:textId="7ED0BC2E" w:rsidR="0067398D" w:rsidRPr="00F510FE" w:rsidRDefault="0067398D" w:rsidP="00DC39FD">
      <w:pPr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odbor </w:t>
      </w:r>
      <w:r w:rsidR="00744056">
        <w:rPr>
          <w:sz w:val="22"/>
          <w:szCs w:val="22"/>
        </w:rPr>
        <w:t>programovania a metodiky</w:t>
      </w:r>
    </w:p>
    <w:p w14:paraId="74164FA8" w14:textId="4F62D33B" w:rsidR="0067398D" w:rsidRPr="00F510FE" w:rsidRDefault="0067398D" w:rsidP="00DC39FD">
      <w:pPr>
        <w:tabs>
          <w:tab w:val="left" w:pos="426"/>
        </w:tabs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Ministerstvo </w:t>
      </w:r>
      <w:r w:rsidR="00744056">
        <w:rPr>
          <w:sz w:val="22"/>
          <w:szCs w:val="22"/>
        </w:rPr>
        <w:t>investícií, regionálneho rozvoja a informatizácie</w:t>
      </w:r>
      <w:r w:rsidR="00744056" w:rsidRPr="00F510FE">
        <w:rPr>
          <w:sz w:val="22"/>
          <w:szCs w:val="22"/>
        </w:rPr>
        <w:t xml:space="preserve"> </w:t>
      </w:r>
      <w:r w:rsidRPr="00F510FE">
        <w:rPr>
          <w:sz w:val="22"/>
          <w:szCs w:val="22"/>
        </w:rPr>
        <w:t>SR</w:t>
      </w:r>
    </w:p>
    <w:p w14:paraId="17C717E2" w14:textId="77777777" w:rsidR="00EA5D78" w:rsidRDefault="00EA5D78" w:rsidP="00EA5D78">
      <w:pPr>
        <w:spacing w:before="80" w:line="276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Pribinova 25</w:t>
      </w:r>
    </w:p>
    <w:p w14:paraId="4BEBF75E" w14:textId="77777777" w:rsidR="00EA5D78" w:rsidRPr="00F510FE" w:rsidRDefault="00EA5D78" w:rsidP="00EA5D78">
      <w:pPr>
        <w:spacing w:before="80" w:line="276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811 09 Bratislava</w:t>
      </w:r>
    </w:p>
    <w:p w14:paraId="21CC3AF1" w14:textId="331F055D" w:rsidR="0067398D" w:rsidRPr="00F510FE" w:rsidRDefault="001B301B" w:rsidP="00DC39FD">
      <w:pPr>
        <w:tabs>
          <w:tab w:val="left" w:pos="426"/>
        </w:tabs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Tel</w:t>
      </w:r>
      <w:r w:rsidR="0067398D" w:rsidRPr="00F510FE">
        <w:rPr>
          <w:sz w:val="22"/>
          <w:szCs w:val="22"/>
        </w:rPr>
        <w:t xml:space="preserve">: +421 2 </w:t>
      </w:r>
      <w:r w:rsidR="000B1391">
        <w:rPr>
          <w:sz w:val="22"/>
          <w:szCs w:val="22"/>
        </w:rPr>
        <w:t>2092</w:t>
      </w:r>
      <w:r w:rsidR="0067398D" w:rsidRPr="00F510FE">
        <w:rPr>
          <w:sz w:val="22"/>
          <w:szCs w:val="22"/>
        </w:rPr>
        <w:t xml:space="preserve"> </w:t>
      </w:r>
      <w:r w:rsidR="000B1391">
        <w:rPr>
          <w:sz w:val="22"/>
          <w:szCs w:val="22"/>
        </w:rPr>
        <w:t>8606</w:t>
      </w:r>
    </w:p>
    <w:p w14:paraId="32FDF4C9" w14:textId="6D8D7069" w:rsidR="0067398D" w:rsidRPr="00F510FE" w:rsidRDefault="0067398D" w:rsidP="00DC39FD">
      <w:pPr>
        <w:tabs>
          <w:tab w:val="left" w:pos="426"/>
        </w:tabs>
        <w:spacing w:line="276" w:lineRule="auto"/>
        <w:ind w:left="284"/>
        <w:jc w:val="both"/>
        <w:rPr>
          <w:sz w:val="22"/>
          <w:szCs w:val="22"/>
          <w:lang w:val="en-US"/>
        </w:rPr>
      </w:pPr>
      <w:r w:rsidRPr="00F510FE">
        <w:rPr>
          <w:sz w:val="22"/>
          <w:szCs w:val="22"/>
        </w:rPr>
        <w:t xml:space="preserve">e-mail: </w:t>
      </w:r>
      <w:hyperlink r:id="rId16" w:history="1">
        <w:r w:rsidR="00B9287A" w:rsidRPr="006B2C9C">
          <w:rPr>
            <w:rStyle w:val="Hypertextovprepojenie"/>
            <w:sz w:val="22"/>
            <w:szCs w:val="22"/>
          </w:rPr>
          <w:t>elena.chrenkova.kusnirova@mirri.gov.sk</w:t>
        </w:r>
      </w:hyperlink>
      <w:r w:rsidRPr="00F510FE">
        <w:rPr>
          <w:sz w:val="22"/>
          <w:szCs w:val="22"/>
          <w:lang w:val="en-US"/>
        </w:rPr>
        <w:t xml:space="preserve"> </w:t>
      </w:r>
    </w:p>
    <w:p w14:paraId="1739DAF1" w14:textId="0B26B459" w:rsidR="00E54ACB" w:rsidRPr="00F510FE" w:rsidRDefault="00E54ACB" w:rsidP="00DC39FD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lastRenderedPageBreak/>
        <w:t>2.</w:t>
      </w:r>
      <w:r w:rsidRPr="00F510FE">
        <w:rPr>
          <w:b/>
          <w:bCs/>
          <w:sz w:val="22"/>
          <w:szCs w:val="22"/>
        </w:rPr>
        <w:tab/>
        <w:t>Potvrdenie správnosti údajov oznámenia podpisom oprávneného z</w:t>
      </w:r>
      <w:r w:rsidR="00EB2F61" w:rsidRPr="00F510FE">
        <w:rPr>
          <w:b/>
          <w:bCs/>
          <w:sz w:val="22"/>
          <w:szCs w:val="22"/>
        </w:rPr>
        <w:t>ástupcu obstarávateľa, pečiatka</w:t>
      </w:r>
    </w:p>
    <w:p w14:paraId="5633326D" w14:textId="083408DD" w:rsidR="0067398D" w:rsidRPr="00F510FE" w:rsidRDefault="00744056" w:rsidP="00DC39FD">
      <w:pPr>
        <w:spacing w:before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Mgr. Andrej Kosmovský</w:t>
      </w:r>
    </w:p>
    <w:p w14:paraId="05225CF6" w14:textId="0E66E09E" w:rsidR="0067398D" w:rsidRPr="00F510FE" w:rsidRDefault="0067398D" w:rsidP="00DC39FD">
      <w:pPr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riaditeľ odboru </w:t>
      </w:r>
      <w:r w:rsidR="00744056">
        <w:rPr>
          <w:sz w:val="22"/>
          <w:szCs w:val="22"/>
        </w:rPr>
        <w:t>programovania a metodiky</w:t>
      </w:r>
    </w:p>
    <w:p w14:paraId="12550949" w14:textId="03AD9607" w:rsidR="0067398D" w:rsidRPr="00F510FE" w:rsidRDefault="0067398D" w:rsidP="00DC39FD">
      <w:pPr>
        <w:tabs>
          <w:tab w:val="left" w:pos="426"/>
        </w:tabs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Ministerstvo </w:t>
      </w:r>
      <w:r w:rsidR="00744056">
        <w:rPr>
          <w:sz w:val="22"/>
          <w:szCs w:val="22"/>
        </w:rPr>
        <w:t>investícií, regionálneho rozvoja a informatizácie</w:t>
      </w:r>
      <w:r w:rsidR="00744056" w:rsidRPr="00F510FE">
        <w:rPr>
          <w:sz w:val="22"/>
          <w:szCs w:val="22"/>
        </w:rPr>
        <w:t xml:space="preserve"> </w:t>
      </w:r>
      <w:r w:rsidRPr="00F510FE">
        <w:rPr>
          <w:sz w:val="22"/>
          <w:szCs w:val="22"/>
        </w:rPr>
        <w:t>SR</w:t>
      </w:r>
    </w:p>
    <w:p w14:paraId="0957AEF9" w14:textId="77777777" w:rsidR="00EA5D78" w:rsidRDefault="00EA5D78" w:rsidP="00EA5D78">
      <w:pPr>
        <w:spacing w:before="80" w:line="276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Pribinova 25</w:t>
      </w:r>
    </w:p>
    <w:p w14:paraId="03E04E64" w14:textId="77777777" w:rsidR="00EA5D78" w:rsidRPr="00F510FE" w:rsidRDefault="00EA5D78" w:rsidP="00EA5D78">
      <w:pPr>
        <w:spacing w:before="80" w:line="276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811 09 Bratislava</w:t>
      </w:r>
    </w:p>
    <w:p w14:paraId="5CBD4A4B" w14:textId="5E514452" w:rsidR="0067398D" w:rsidRPr="00F510FE" w:rsidRDefault="001B301B" w:rsidP="00DC39FD">
      <w:pPr>
        <w:tabs>
          <w:tab w:val="left" w:pos="426"/>
        </w:tabs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Tel</w:t>
      </w:r>
      <w:r w:rsidR="0067398D" w:rsidRPr="00F510FE">
        <w:rPr>
          <w:sz w:val="22"/>
          <w:szCs w:val="22"/>
        </w:rPr>
        <w:t xml:space="preserve">: +421 2 </w:t>
      </w:r>
      <w:r w:rsidR="000B1391">
        <w:rPr>
          <w:sz w:val="22"/>
          <w:szCs w:val="22"/>
        </w:rPr>
        <w:t>2092</w:t>
      </w:r>
      <w:r w:rsidR="0067398D" w:rsidRPr="00F510FE">
        <w:rPr>
          <w:sz w:val="22"/>
          <w:szCs w:val="22"/>
        </w:rPr>
        <w:t xml:space="preserve"> </w:t>
      </w:r>
      <w:r w:rsidR="000B1391">
        <w:rPr>
          <w:sz w:val="22"/>
          <w:szCs w:val="22"/>
        </w:rPr>
        <w:t>8704</w:t>
      </w:r>
    </w:p>
    <w:p w14:paraId="64D80B71" w14:textId="15FD4202" w:rsidR="0067398D" w:rsidRPr="00F510FE" w:rsidRDefault="0067398D" w:rsidP="00DC39FD">
      <w:pPr>
        <w:tabs>
          <w:tab w:val="left" w:pos="426"/>
        </w:tabs>
        <w:spacing w:line="276" w:lineRule="auto"/>
        <w:ind w:left="284"/>
        <w:jc w:val="both"/>
        <w:rPr>
          <w:sz w:val="22"/>
          <w:szCs w:val="22"/>
          <w:lang w:val="en-US"/>
        </w:rPr>
      </w:pPr>
      <w:r w:rsidRPr="00F510FE">
        <w:rPr>
          <w:sz w:val="22"/>
          <w:szCs w:val="22"/>
        </w:rPr>
        <w:t xml:space="preserve">e-mail: </w:t>
      </w:r>
      <w:hyperlink r:id="rId17" w:history="1">
        <w:r w:rsidR="00744056" w:rsidRPr="005C2509">
          <w:rPr>
            <w:rStyle w:val="Hypertextovprepojenie"/>
            <w:sz w:val="22"/>
            <w:szCs w:val="22"/>
          </w:rPr>
          <w:t>andrej.kosmovsky@mirri.gov.sk</w:t>
        </w:r>
      </w:hyperlink>
      <w:r w:rsidRPr="00F510FE">
        <w:rPr>
          <w:sz w:val="22"/>
          <w:szCs w:val="22"/>
          <w:lang w:val="en-US"/>
        </w:rPr>
        <w:t xml:space="preserve"> </w:t>
      </w:r>
    </w:p>
    <w:p w14:paraId="4519B45C" w14:textId="77777777" w:rsidR="0067398D" w:rsidRPr="00F510FE" w:rsidRDefault="0067398D" w:rsidP="00DC39FD">
      <w:pPr>
        <w:spacing w:line="276" w:lineRule="auto"/>
        <w:ind w:left="284"/>
        <w:rPr>
          <w:sz w:val="22"/>
          <w:szCs w:val="22"/>
        </w:rPr>
      </w:pPr>
    </w:p>
    <w:p w14:paraId="3B2F6571" w14:textId="2E0C9A80" w:rsidR="00A2796E" w:rsidRPr="00F510FE" w:rsidRDefault="00744056" w:rsidP="00DC39FD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Ing. Albert Németh</w:t>
      </w:r>
    </w:p>
    <w:p w14:paraId="24537EC3" w14:textId="5F0BF122" w:rsidR="00A2796E" w:rsidRPr="00F510FE" w:rsidRDefault="00A2796E" w:rsidP="00DC39FD">
      <w:pPr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generálny riaditeľ sekcie </w:t>
      </w:r>
      <w:r w:rsidR="00744056">
        <w:rPr>
          <w:sz w:val="22"/>
          <w:szCs w:val="22"/>
        </w:rPr>
        <w:t>IROP</w:t>
      </w:r>
    </w:p>
    <w:p w14:paraId="3232C918" w14:textId="62CAF3B7" w:rsidR="00A2796E" w:rsidRPr="00F510FE" w:rsidRDefault="00A2796E" w:rsidP="00DC39FD">
      <w:pPr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Ministerstvo </w:t>
      </w:r>
      <w:r w:rsidR="00744056">
        <w:rPr>
          <w:sz w:val="22"/>
          <w:szCs w:val="22"/>
        </w:rPr>
        <w:t>investícií, regionálneho rozvoja a informatizácie</w:t>
      </w:r>
      <w:r w:rsidR="00744056" w:rsidRPr="00F510FE">
        <w:rPr>
          <w:sz w:val="22"/>
          <w:szCs w:val="22"/>
        </w:rPr>
        <w:t xml:space="preserve"> </w:t>
      </w:r>
      <w:r w:rsidRPr="00F510FE">
        <w:rPr>
          <w:sz w:val="22"/>
          <w:szCs w:val="22"/>
        </w:rPr>
        <w:t>SR</w:t>
      </w:r>
    </w:p>
    <w:p w14:paraId="40618707" w14:textId="77777777" w:rsidR="00EA5D78" w:rsidRDefault="00EA5D78" w:rsidP="00EA5D78">
      <w:pPr>
        <w:spacing w:before="80" w:line="276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Pribinova 25</w:t>
      </w:r>
    </w:p>
    <w:p w14:paraId="7885F3C7" w14:textId="77777777" w:rsidR="00EA5D78" w:rsidRPr="00F510FE" w:rsidRDefault="00EA5D78" w:rsidP="00EA5D78">
      <w:pPr>
        <w:spacing w:before="80" w:line="276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811 09 Bratislava</w:t>
      </w:r>
    </w:p>
    <w:p w14:paraId="6B163A00" w14:textId="0150F740" w:rsidR="00A2796E" w:rsidRPr="00F510FE" w:rsidRDefault="00A2796E" w:rsidP="00DC39FD">
      <w:pPr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Tel: +421 2 </w:t>
      </w:r>
      <w:r w:rsidR="000B1391">
        <w:rPr>
          <w:sz w:val="22"/>
          <w:szCs w:val="22"/>
        </w:rPr>
        <w:t>2092</w:t>
      </w:r>
      <w:r w:rsidRPr="00F510FE">
        <w:rPr>
          <w:sz w:val="22"/>
          <w:szCs w:val="22"/>
        </w:rPr>
        <w:t xml:space="preserve"> </w:t>
      </w:r>
      <w:r w:rsidR="000B1391">
        <w:rPr>
          <w:sz w:val="22"/>
          <w:szCs w:val="22"/>
        </w:rPr>
        <w:t>8602</w:t>
      </w:r>
    </w:p>
    <w:p w14:paraId="30F75A31" w14:textId="7C61F4D9" w:rsidR="00E54ACB" w:rsidRDefault="00A2796E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  <w:r w:rsidRPr="00F510FE">
        <w:rPr>
          <w:sz w:val="22"/>
          <w:szCs w:val="22"/>
        </w:rPr>
        <w:t xml:space="preserve">e-mail: </w:t>
      </w:r>
      <w:hyperlink r:id="rId18" w:history="1">
        <w:r w:rsidR="00744056" w:rsidRPr="005C2509">
          <w:rPr>
            <w:rStyle w:val="Hypertextovprepojenie"/>
            <w:sz w:val="22"/>
            <w:szCs w:val="22"/>
          </w:rPr>
          <w:t>albert.nemeth@mirri.gov.sk</w:t>
        </w:r>
      </w:hyperlink>
      <w:r>
        <w:rPr>
          <w:sz w:val="22"/>
          <w:szCs w:val="22"/>
          <w:lang w:val="en-US"/>
        </w:rPr>
        <w:t xml:space="preserve"> </w:t>
      </w:r>
    </w:p>
    <w:p w14:paraId="54FB3579" w14:textId="2211C82D" w:rsidR="00EA5D78" w:rsidRDefault="00EA5D78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1F3936AC" w14:textId="6E9383AE" w:rsidR="00EA5D78" w:rsidRDefault="00EA5D78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654AC451" w14:textId="77777777" w:rsidR="00EA5D78" w:rsidRDefault="00EA5D78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  <w:sectPr w:rsidR="00EA5D78" w:rsidSect="0007767F">
          <w:pgSz w:w="11906" w:h="16838"/>
          <w:pgMar w:top="1276" w:right="992" w:bottom="1134" w:left="1247" w:header="709" w:footer="544" w:gutter="0"/>
          <w:cols w:space="708"/>
          <w:docGrid w:linePitch="360"/>
        </w:sectPr>
      </w:pPr>
    </w:p>
    <w:p w14:paraId="33699E81" w14:textId="6B69C9D1" w:rsidR="00EA5D78" w:rsidRDefault="00EA5D78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54705674" w14:textId="72C1A18E" w:rsidR="00A508D6" w:rsidRDefault="00A508D6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095FB9C7" w14:textId="51883C26" w:rsidR="00A508D6" w:rsidRDefault="00A508D6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72786D38" w14:textId="22CA589C" w:rsidR="00A508D6" w:rsidRDefault="00A508D6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47B62147" w14:textId="77777777" w:rsidR="00A508D6" w:rsidRDefault="00A508D6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76ACCD38" w14:textId="69CEB953" w:rsidR="00EA5D78" w:rsidRDefault="00EA5D78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</w:p>
    <w:p w14:paraId="28228700" w14:textId="102D250E" w:rsidR="00EA5D78" w:rsidRPr="00EA5D78" w:rsidRDefault="00EA5D78" w:rsidP="00EA5D78">
      <w:pPr>
        <w:spacing w:line="276" w:lineRule="auto"/>
        <w:ind w:left="284"/>
        <w:jc w:val="center"/>
        <w:rPr>
          <w:b/>
        </w:rPr>
      </w:pPr>
      <w:r w:rsidRPr="00EA5D78">
        <w:rPr>
          <w:b/>
        </w:rPr>
        <w:t>PRÍLOHA</w:t>
      </w:r>
    </w:p>
    <w:p w14:paraId="69B69299" w14:textId="77777777" w:rsidR="00EA5D78" w:rsidRDefault="00EA5D78" w:rsidP="00DC39FD">
      <w:pPr>
        <w:spacing w:line="276" w:lineRule="auto"/>
        <w:ind w:left="284"/>
        <w:jc w:val="both"/>
      </w:pPr>
    </w:p>
    <w:p w14:paraId="593B72CE" w14:textId="7DFAA0CE" w:rsidR="00EA5D78" w:rsidRDefault="00EA5D78" w:rsidP="00DC39FD">
      <w:pPr>
        <w:spacing w:line="276" w:lineRule="auto"/>
        <w:ind w:left="284"/>
        <w:jc w:val="both"/>
      </w:pPr>
    </w:p>
    <w:p w14:paraId="12F7E92A" w14:textId="78F33E10" w:rsidR="00A508D6" w:rsidRDefault="00A508D6" w:rsidP="00DC39FD">
      <w:pPr>
        <w:spacing w:line="276" w:lineRule="auto"/>
        <w:ind w:left="284"/>
        <w:jc w:val="both"/>
      </w:pPr>
    </w:p>
    <w:p w14:paraId="26A0EE1D" w14:textId="04C46FBD" w:rsidR="00A508D6" w:rsidRDefault="00A508D6" w:rsidP="00DC39FD">
      <w:pPr>
        <w:spacing w:line="276" w:lineRule="auto"/>
        <w:ind w:left="284"/>
        <w:jc w:val="both"/>
      </w:pPr>
    </w:p>
    <w:p w14:paraId="7EFF6233" w14:textId="77777777" w:rsidR="00A508D6" w:rsidRDefault="00A508D6" w:rsidP="00DC39FD">
      <w:pPr>
        <w:spacing w:line="276" w:lineRule="auto"/>
        <w:ind w:left="284"/>
        <w:jc w:val="both"/>
      </w:pPr>
    </w:p>
    <w:p w14:paraId="2F1FAE37" w14:textId="77777777" w:rsidR="00EA5D78" w:rsidRDefault="00EA5D78" w:rsidP="00DC39FD">
      <w:pPr>
        <w:spacing w:line="276" w:lineRule="auto"/>
        <w:ind w:left="284"/>
        <w:jc w:val="both"/>
      </w:pPr>
    </w:p>
    <w:p w14:paraId="71E32031" w14:textId="77777777" w:rsidR="00EA5D78" w:rsidRDefault="00EA5D78" w:rsidP="00EA5D78">
      <w:pPr>
        <w:spacing w:line="276" w:lineRule="auto"/>
        <w:ind w:left="284"/>
        <w:jc w:val="center"/>
      </w:pPr>
      <w:r>
        <w:t xml:space="preserve">Integrovaný regionálny operačný program </w:t>
      </w:r>
    </w:p>
    <w:p w14:paraId="10025B89" w14:textId="2D996C79" w:rsidR="00EA5D78" w:rsidRPr="00094181" w:rsidRDefault="00EA5D78" w:rsidP="00EA5D78">
      <w:pPr>
        <w:spacing w:line="276" w:lineRule="auto"/>
        <w:ind w:left="284"/>
        <w:jc w:val="center"/>
        <w:rPr>
          <w:sz w:val="22"/>
          <w:szCs w:val="22"/>
          <w:lang w:val="en-US"/>
        </w:rPr>
      </w:pPr>
      <w:r>
        <w:t>(verzia 13.0)</w:t>
      </w:r>
    </w:p>
    <w:sectPr w:rsidR="00EA5D78" w:rsidRPr="00094181" w:rsidSect="0007767F">
      <w:pgSz w:w="11906" w:h="16838"/>
      <w:pgMar w:top="1276" w:right="992" w:bottom="1134" w:left="124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0865B" w14:textId="77777777" w:rsidR="00EE43E7" w:rsidRDefault="00EE43E7" w:rsidP="00EB4EE8">
      <w:r>
        <w:separator/>
      </w:r>
    </w:p>
  </w:endnote>
  <w:endnote w:type="continuationSeparator" w:id="0">
    <w:p w14:paraId="70A310CD" w14:textId="77777777" w:rsidR="00EE43E7" w:rsidRDefault="00EE43E7" w:rsidP="00EB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48230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02052A2" w14:textId="57349369" w:rsidR="00EE43E7" w:rsidRPr="00BE67DE" w:rsidRDefault="00EE43E7" w:rsidP="00EE43E7">
        <w:pPr>
          <w:pStyle w:val="Pta"/>
          <w:jc w:val="right"/>
          <w:rPr>
            <w:rFonts w:ascii="Arial Narrow" w:hAnsi="Arial Narrow"/>
          </w:rPr>
        </w:pPr>
        <w:r w:rsidRPr="00BE67DE">
          <w:rPr>
            <w:rFonts w:ascii="Arial Narrow" w:hAnsi="Arial Narrow"/>
          </w:rPr>
          <w:fldChar w:fldCharType="begin"/>
        </w:r>
        <w:r w:rsidRPr="00BE67DE">
          <w:rPr>
            <w:rFonts w:ascii="Arial Narrow" w:hAnsi="Arial Narrow"/>
          </w:rPr>
          <w:instrText>PAGE   \* MERGEFORMAT</w:instrText>
        </w:r>
        <w:r w:rsidRPr="00BE67DE">
          <w:rPr>
            <w:rFonts w:ascii="Arial Narrow" w:hAnsi="Arial Narrow"/>
          </w:rPr>
          <w:fldChar w:fldCharType="separate"/>
        </w:r>
        <w:r w:rsidR="00CD726B">
          <w:rPr>
            <w:rFonts w:ascii="Arial Narrow" w:hAnsi="Arial Narrow"/>
            <w:noProof/>
          </w:rPr>
          <w:t>6</w:t>
        </w:r>
        <w:r w:rsidRPr="00BE67DE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7265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6F2C214D" w14:textId="7729EE62" w:rsidR="00EE43E7" w:rsidRPr="00BE67DE" w:rsidRDefault="00EE43E7" w:rsidP="00EE43E7">
        <w:pPr>
          <w:pStyle w:val="Pta"/>
          <w:jc w:val="right"/>
          <w:rPr>
            <w:rFonts w:ascii="Arial Narrow" w:hAnsi="Arial Narrow"/>
          </w:rPr>
        </w:pPr>
        <w:r w:rsidRPr="00BE67DE">
          <w:rPr>
            <w:rFonts w:ascii="Arial Narrow" w:hAnsi="Arial Narrow"/>
          </w:rPr>
          <w:fldChar w:fldCharType="begin"/>
        </w:r>
        <w:r w:rsidRPr="00BE67DE">
          <w:rPr>
            <w:rFonts w:ascii="Arial Narrow" w:hAnsi="Arial Narrow"/>
          </w:rPr>
          <w:instrText>PAGE   \* MERGEFORMAT</w:instrText>
        </w:r>
        <w:r w:rsidRPr="00BE67DE">
          <w:rPr>
            <w:rFonts w:ascii="Arial Narrow" w:hAnsi="Arial Narrow"/>
          </w:rPr>
          <w:fldChar w:fldCharType="separate"/>
        </w:r>
        <w:r w:rsidR="00CD726B">
          <w:rPr>
            <w:rFonts w:ascii="Arial Narrow" w:hAnsi="Arial Narrow"/>
            <w:noProof/>
          </w:rPr>
          <w:t>11</w:t>
        </w:r>
        <w:r w:rsidRPr="00BE67DE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6393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75D583D" w14:textId="1CCC431C" w:rsidR="00EE43E7" w:rsidRPr="007347B1" w:rsidRDefault="00EE43E7" w:rsidP="00724642">
        <w:pPr>
          <w:pStyle w:val="Pta"/>
          <w:jc w:val="right"/>
          <w:rPr>
            <w:sz w:val="20"/>
            <w:szCs w:val="20"/>
          </w:rPr>
        </w:pPr>
        <w:r w:rsidRPr="007347B1">
          <w:rPr>
            <w:sz w:val="20"/>
            <w:szCs w:val="20"/>
          </w:rPr>
          <w:fldChar w:fldCharType="begin"/>
        </w:r>
        <w:r w:rsidRPr="007347B1">
          <w:rPr>
            <w:sz w:val="20"/>
            <w:szCs w:val="20"/>
          </w:rPr>
          <w:instrText>PAGE   \* MERGEFORMAT</w:instrText>
        </w:r>
        <w:r w:rsidRPr="007347B1">
          <w:rPr>
            <w:sz w:val="20"/>
            <w:szCs w:val="20"/>
          </w:rPr>
          <w:fldChar w:fldCharType="separate"/>
        </w:r>
        <w:r w:rsidR="00CD726B">
          <w:rPr>
            <w:noProof/>
            <w:sz w:val="20"/>
            <w:szCs w:val="20"/>
          </w:rPr>
          <w:t>22</w:t>
        </w:r>
        <w:r w:rsidRPr="007347B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805AD" w14:textId="77777777" w:rsidR="00EE43E7" w:rsidRDefault="00EE43E7" w:rsidP="00EB4EE8">
      <w:r>
        <w:separator/>
      </w:r>
    </w:p>
  </w:footnote>
  <w:footnote w:type="continuationSeparator" w:id="0">
    <w:p w14:paraId="1C73AB3F" w14:textId="77777777" w:rsidR="00EE43E7" w:rsidRDefault="00EE43E7" w:rsidP="00EB4EE8">
      <w:r>
        <w:continuationSeparator/>
      </w:r>
    </w:p>
  </w:footnote>
  <w:footnote w:id="1">
    <w:p w14:paraId="1E46CAD2" w14:textId="77777777" w:rsidR="00CD726B" w:rsidRPr="00F436DB" w:rsidRDefault="00CD726B" w:rsidP="00CD726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F436DB">
        <w:rPr>
          <w:rFonts w:ascii="Arial Narrow" w:eastAsia="Arial Narrow" w:hAnsi="Arial Narrow" w:cs="Arial Narrow"/>
          <w:spacing w:val="2"/>
          <w:szCs w:val="24"/>
        </w:rPr>
        <w:t>Podľa § 1 ods. 2 zákona 24/2006 Z. z. sa tento zákon nevzťahuje na strategické dokumenty, ktorých jediným účelom je národná obrana, civilná ochrana, finančné alebo rozpočtové plány a programy, čo vychádza z transponovanej smernice SEA článok 3(8). Jediným cieľom opatrení v rámci novovytvorenej prioritnej osi č. 9 je civilná ochrana utečencov z Ukrajiny. Preto navrhované aktivity IROP v rámci novovzniknutej prioritnej osi súvisiace s riešením utečeneckej krízy v súlade s Nariadením č. 2022/872 nepodliehajú ustanoveniam zákona č. 24/2006 Z. z., ani smernici o SEA. Uvedený postup bol konzultovaný s Ministerstvom životného prostredia SR.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189D" w14:textId="77777777" w:rsidR="00EE43E7" w:rsidRDefault="00EE43E7">
    <w:pPr>
      <w:pStyle w:val="Hlavika"/>
    </w:pPr>
    <w:r w:rsidRPr="0029061E"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373FD423" wp14:editId="26BA0447">
          <wp:simplePos x="0" y="0"/>
          <wp:positionH relativeFrom="margin">
            <wp:posOffset>1941830</wp:posOffset>
          </wp:positionH>
          <wp:positionV relativeFrom="paragraph">
            <wp:posOffset>-126365</wp:posOffset>
          </wp:positionV>
          <wp:extent cx="1812651" cy="492760"/>
          <wp:effectExtent l="0" t="0" r="0" b="2540"/>
          <wp:wrapNone/>
          <wp:docPr id="27" name="Obrázo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651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A14">
      <w:rPr>
        <w:rFonts w:ascii="MetaNormal-Roman" w:hAnsi="MetaNormal-Roman"/>
        <w:noProof/>
        <w:lang w:eastAsia="sk-SK"/>
      </w:rPr>
      <w:drawing>
        <wp:anchor distT="0" distB="0" distL="114300" distR="114300" simplePos="0" relativeHeight="251664384" behindDoc="1" locked="0" layoutInCell="1" allowOverlap="1" wp14:anchorId="4942EF29" wp14:editId="27DDC9CB">
          <wp:simplePos x="0" y="0"/>
          <wp:positionH relativeFrom="margin">
            <wp:posOffset>4126230</wp:posOffset>
          </wp:positionH>
          <wp:positionV relativeFrom="paragraph">
            <wp:posOffset>-105410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28" name="Obrázok 28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061E"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029338AE" wp14:editId="64F22D12">
          <wp:simplePos x="0" y="0"/>
          <wp:positionH relativeFrom="margin">
            <wp:posOffset>81915</wp:posOffset>
          </wp:positionH>
          <wp:positionV relativeFrom="paragraph">
            <wp:posOffset>-143510</wp:posOffset>
          </wp:positionV>
          <wp:extent cx="728345" cy="614045"/>
          <wp:effectExtent l="0" t="0" r="0" b="0"/>
          <wp:wrapTight wrapText="bothSides">
            <wp:wrapPolygon edited="0">
              <wp:start x="2260" y="0"/>
              <wp:lineTo x="2260" y="10722"/>
              <wp:lineTo x="0" y="14743"/>
              <wp:lineTo x="0" y="18763"/>
              <wp:lineTo x="5085" y="20774"/>
              <wp:lineTo x="15819" y="20774"/>
              <wp:lineTo x="20903" y="18763"/>
              <wp:lineTo x="20903" y="15413"/>
              <wp:lineTo x="18078" y="10722"/>
              <wp:lineTo x="18078" y="0"/>
              <wp:lineTo x="2260" y="0"/>
            </wp:wrapPolygon>
          </wp:wrapTight>
          <wp:docPr id="29" name="Obrázok 29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C5519" w14:textId="77777777" w:rsidR="00EE43E7" w:rsidRDefault="00EE43E7" w:rsidP="00EE43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8227" w14:textId="77777777" w:rsidR="00EE43E7" w:rsidRDefault="00EE43E7">
    <w:pPr>
      <w:pStyle w:val="Hlavika"/>
    </w:pPr>
    <w:r w:rsidRPr="0029061E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39B7FEC8" wp14:editId="62B61712">
          <wp:simplePos x="0" y="0"/>
          <wp:positionH relativeFrom="margin">
            <wp:posOffset>1941830</wp:posOffset>
          </wp:positionH>
          <wp:positionV relativeFrom="paragraph">
            <wp:posOffset>-126365</wp:posOffset>
          </wp:positionV>
          <wp:extent cx="1812651" cy="492760"/>
          <wp:effectExtent l="0" t="0" r="0" b="2540"/>
          <wp:wrapNone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651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A14">
      <w:rPr>
        <w:rFonts w:ascii="MetaNormal-Roman" w:hAnsi="MetaNormal-Roman"/>
        <w:noProof/>
        <w:lang w:eastAsia="sk-SK"/>
      </w:rPr>
      <w:drawing>
        <wp:anchor distT="0" distB="0" distL="114300" distR="114300" simplePos="0" relativeHeight="251661312" behindDoc="1" locked="0" layoutInCell="1" allowOverlap="1" wp14:anchorId="7E9FF443" wp14:editId="596AAFAA">
          <wp:simplePos x="0" y="0"/>
          <wp:positionH relativeFrom="margin">
            <wp:posOffset>4126230</wp:posOffset>
          </wp:positionH>
          <wp:positionV relativeFrom="paragraph">
            <wp:posOffset>-105410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46" name="Obrázok 46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061E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CE1FA60" wp14:editId="344F2B1D">
          <wp:simplePos x="0" y="0"/>
          <wp:positionH relativeFrom="margin">
            <wp:posOffset>81915</wp:posOffset>
          </wp:positionH>
          <wp:positionV relativeFrom="paragraph">
            <wp:posOffset>-143510</wp:posOffset>
          </wp:positionV>
          <wp:extent cx="728345" cy="614045"/>
          <wp:effectExtent l="0" t="0" r="0" b="0"/>
          <wp:wrapTight wrapText="bothSides">
            <wp:wrapPolygon edited="0">
              <wp:start x="2260" y="0"/>
              <wp:lineTo x="2260" y="10722"/>
              <wp:lineTo x="0" y="14743"/>
              <wp:lineTo x="0" y="18763"/>
              <wp:lineTo x="5085" y="20774"/>
              <wp:lineTo x="15819" y="20774"/>
              <wp:lineTo x="20903" y="18763"/>
              <wp:lineTo x="20903" y="15413"/>
              <wp:lineTo x="18078" y="10722"/>
              <wp:lineTo x="18078" y="0"/>
              <wp:lineTo x="2260" y="0"/>
            </wp:wrapPolygon>
          </wp:wrapTight>
          <wp:docPr id="47" name="Obrázok 47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578"/>
    <w:multiLevelType w:val="hybridMultilevel"/>
    <w:tmpl w:val="AE521A78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8DC"/>
    <w:multiLevelType w:val="hybridMultilevel"/>
    <w:tmpl w:val="479CBB5A"/>
    <w:lvl w:ilvl="0" w:tplc="1F8A4E46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2D51"/>
    <w:multiLevelType w:val="hybridMultilevel"/>
    <w:tmpl w:val="016019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2CC"/>
    <w:multiLevelType w:val="hybridMultilevel"/>
    <w:tmpl w:val="F2FA2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71384"/>
    <w:multiLevelType w:val="hybridMultilevel"/>
    <w:tmpl w:val="538A56C8"/>
    <w:lvl w:ilvl="0" w:tplc="8E8AB61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8B42B3"/>
    <w:multiLevelType w:val="hybridMultilevel"/>
    <w:tmpl w:val="1618109A"/>
    <w:lvl w:ilvl="0" w:tplc="2B8A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D9A43A4">
      <w:start w:val="2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105106">
      <w:start w:val="2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C4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00E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7AE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4A4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BE2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C89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0FD211C5"/>
    <w:multiLevelType w:val="hybridMultilevel"/>
    <w:tmpl w:val="DF78B66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0318"/>
    <w:multiLevelType w:val="hybridMultilevel"/>
    <w:tmpl w:val="B55053FC"/>
    <w:lvl w:ilvl="0" w:tplc="77929BA2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C3D55"/>
    <w:multiLevelType w:val="hybridMultilevel"/>
    <w:tmpl w:val="34843D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531BC"/>
    <w:multiLevelType w:val="hybridMultilevel"/>
    <w:tmpl w:val="1E920C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47CA"/>
    <w:multiLevelType w:val="hybridMultilevel"/>
    <w:tmpl w:val="459020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661E4"/>
    <w:multiLevelType w:val="hybridMultilevel"/>
    <w:tmpl w:val="5BC28242"/>
    <w:lvl w:ilvl="0" w:tplc="33C224C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F34CB"/>
    <w:multiLevelType w:val="multilevel"/>
    <w:tmpl w:val="D4A0B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F011948"/>
    <w:multiLevelType w:val="hybridMultilevel"/>
    <w:tmpl w:val="19FE6E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F3DA0"/>
    <w:multiLevelType w:val="hybridMultilevel"/>
    <w:tmpl w:val="5E543E94"/>
    <w:lvl w:ilvl="0" w:tplc="64A8E6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D4D36"/>
    <w:multiLevelType w:val="hybridMultilevel"/>
    <w:tmpl w:val="C6064648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5A27B05"/>
    <w:multiLevelType w:val="hybridMultilevel"/>
    <w:tmpl w:val="63DC4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E5FB3"/>
    <w:multiLevelType w:val="hybridMultilevel"/>
    <w:tmpl w:val="42F2A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7043C"/>
    <w:multiLevelType w:val="hybridMultilevel"/>
    <w:tmpl w:val="404E5170"/>
    <w:lvl w:ilvl="0" w:tplc="ECBA3BF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B6BC4"/>
    <w:multiLevelType w:val="hybridMultilevel"/>
    <w:tmpl w:val="25E656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C1BE4"/>
    <w:multiLevelType w:val="hybridMultilevel"/>
    <w:tmpl w:val="822C4198"/>
    <w:lvl w:ilvl="0" w:tplc="9A1A408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7353A"/>
    <w:multiLevelType w:val="hybridMultilevel"/>
    <w:tmpl w:val="19FE6E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C6266"/>
    <w:multiLevelType w:val="hybridMultilevel"/>
    <w:tmpl w:val="7824A0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92F6E"/>
    <w:multiLevelType w:val="hybridMultilevel"/>
    <w:tmpl w:val="B4521F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66A55"/>
    <w:multiLevelType w:val="hybridMultilevel"/>
    <w:tmpl w:val="1186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41F07"/>
    <w:multiLevelType w:val="hybridMultilevel"/>
    <w:tmpl w:val="CC429D0E"/>
    <w:lvl w:ilvl="0" w:tplc="0C94D32C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A721F"/>
    <w:multiLevelType w:val="hybridMultilevel"/>
    <w:tmpl w:val="C3E01612"/>
    <w:lvl w:ilvl="0" w:tplc="202450E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EC7B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10BB1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3006A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78DD8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0AAC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302F6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F0B46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0BE5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3EEC129E"/>
    <w:multiLevelType w:val="hybridMultilevel"/>
    <w:tmpl w:val="FA7878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307C1"/>
    <w:multiLevelType w:val="multilevel"/>
    <w:tmpl w:val="5E2E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6D2221"/>
    <w:multiLevelType w:val="hybridMultilevel"/>
    <w:tmpl w:val="0E40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A51F0F"/>
    <w:multiLevelType w:val="hybridMultilevel"/>
    <w:tmpl w:val="D22468CA"/>
    <w:lvl w:ilvl="0" w:tplc="4E8CE17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C80A46"/>
    <w:multiLevelType w:val="hybridMultilevel"/>
    <w:tmpl w:val="47F8847A"/>
    <w:lvl w:ilvl="0" w:tplc="AB68439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335B8"/>
    <w:multiLevelType w:val="hybridMultilevel"/>
    <w:tmpl w:val="7E504F6A"/>
    <w:lvl w:ilvl="0" w:tplc="2C9EF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3C0A82"/>
    <w:multiLevelType w:val="hybridMultilevel"/>
    <w:tmpl w:val="C0086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53079"/>
    <w:multiLevelType w:val="hybridMultilevel"/>
    <w:tmpl w:val="950A4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92F64"/>
    <w:multiLevelType w:val="hybridMultilevel"/>
    <w:tmpl w:val="9258AF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A3427"/>
    <w:multiLevelType w:val="hybridMultilevel"/>
    <w:tmpl w:val="F21E1EE6"/>
    <w:lvl w:ilvl="0" w:tplc="441091F2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D573D"/>
    <w:multiLevelType w:val="hybridMultilevel"/>
    <w:tmpl w:val="FF00562C"/>
    <w:lvl w:ilvl="0" w:tplc="67FED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F98B72A">
      <w:start w:val="2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7C2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66E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30D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E2E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7E2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01C5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2102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 w15:restartNumberingAfterBreak="0">
    <w:nsid w:val="6AA20654"/>
    <w:multiLevelType w:val="hybridMultilevel"/>
    <w:tmpl w:val="EEE8D748"/>
    <w:lvl w:ilvl="0" w:tplc="D2EAF9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37800"/>
    <w:multiLevelType w:val="hybridMultilevel"/>
    <w:tmpl w:val="CE5AD026"/>
    <w:lvl w:ilvl="0" w:tplc="15023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16E7C"/>
    <w:multiLevelType w:val="hybridMultilevel"/>
    <w:tmpl w:val="47F8847A"/>
    <w:lvl w:ilvl="0" w:tplc="AB68439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345CD"/>
    <w:multiLevelType w:val="hybridMultilevel"/>
    <w:tmpl w:val="05E0AA42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 w15:restartNumberingAfterBreak="0">
    <w:nsid w:val="6F5A2061"/>
    <w:multiLevelType w:val="hybridMultilevel"/>
    <w:tmpl w:val="3BB05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15F60"/>
    <w:multiLevelType w:val="hybridMultilevel"/>
    <w:tmpl w:val="02282556"/>
    <w:lvl w:ilvl="0" w:tplc="265C181A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F034E"/>
    <w:multiLevelType w:val="hybridMultilevel"/>
    <w:tmpl w:val="9A0C30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41BA1"/>
    <w:multiLevelType w:val="hybridMultilevel"/>
    <w:tmpl w:val="68FC1C9E"/>
    <w:lvl w:ilvl="0" w:tplc="79BA42C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A5C9A"/>
    <w:multiLevelType w:val="multilevel"/>
    <w:tmpl w:val="D4A0B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8"/>
  </w:num>
  <w:num w:numId="5">
    <w:abstractNumId w:val="19"/>
  </w:num>
  <w:num w:numId="6">
    <w:abstractNumId w:val="45"/>
  </w:num>
  <w:num w:numId="7">
    <w:abstractNumId w:val="11"/>
  </w:num>
  <w:num w:numId="8">
    <w:abstractNumId w:val="31"/>
  </w:num>
  <w:num w:numId="9">
    <w:abstractNumId w:val="41"/>
  </w:num>
  <w:num w:numId="10">
    <w:abstractNumId w:val="40"/>
  </w:num>
  <w:num w:numId="11">
    <w:abstractNumId w:val="22"/>
  </w:num>
  <w:num w:numId="12">
    <w:abstractNumId w:val="42"/>
  </w:num>
  <w:num w:numId="13">
    <w:abstractNumId w:val="33"/>
  </w:num>
  <w:num w:numId="14">
    <w:abstractNumId w:val="9"/>
  </w:num>
  <w:num w:numId="15">
    <w:abstractNumId w:val="7"/>
  </w:num>
  <w:num w:numId="16">
    <w:abstractNumId w:val="0"/>
  </w:num>
  <w:num w:numId="17">
    <w:abstractNumId w:val="25"/>
  </w:num>
  <w:num w:numId="18">
    <w:abstractNumId w:val="36"/>
  </w:num>
  <w:num w:numId="19">
    <w:abstractNumId w:val="43"/>
  </w:num>
  <w:num w:numId="20">
    <w:abstractNumId w:val="21"/>
  </w:num>
  <w:num w:numId="21">
    <w:abstractNumId w:val="37"/>
  </w:num>
  <w:num w:numId="22">
    <w:abstractNumId w:val="5"/>
  </w:num>
  <w:num w:numId="23">
    <w:abstractNumId w:val="39"/>
  </w:num>
  <w:num w:numId="24">
    <w:abstractNumId w:val="6"/>
  </w:num>
  <w:num w:numId="25">
    <w:abstractNumId w:val="26"/>
  </w:num>
  <w:num w:numId="26">
    <w:abstractNumId w:val="30"/>
  </w:num>
  <w:num w:numId="27">
    <w:abstractNumId w:val="18"/>
  </w:num>
  <w:num w:numId="28">
    <w:abstractNumId w:val="12"/>
  </w:num>
  <w:num w:numId="29">
    <w:abstractNumId w:val="2"/>
  </w:num>
  <w:num w:numId="30">
    <w:abstractNumId w:val="38"/>
  </w:num>
  <w:num w:numId="31">
    <w:abstractNumId w:val="32"/>
  </w:num>
  <w:num w:numId="32">
    <w:abstractNumId w:val="4"/>
  </w:num>
  <w:num w:numId="33">
    <w:abstractNumId w:val="3"/>
  </w:num>
  <w:num w:numId="34">
    <w:abstractNumId w:val="34"/>
  </w:num>
  <w:num w:numId="35">
    <w:abstractNumId w:val="10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7"/>
  </w:num>
  <w:num w:numId="39">
    <w:abstractNumId w:val="44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"/>
  </w:num>
  <w:num w:numId="43">
    <w:abstractNumId w:val="29"/>
  </w:num>
  <w:num w:numId="44">
    <w:abstractNumId w:val="35"/>
  </w:num>
  <w:num w:numId="45">
    <w:abstractNumId w:val="28"/>
  </w:num>
  <w:num w:numId="46">
    <w:abstractNumId w:val="46"/>
  </w:num>
  <w:num w:numId="47">
    <w:abstractNumId w:val="20"/>
  </w:num>
  <w:num w:numId="48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CB"/>
    <w:rsid w:val="0000227F"/>
    <w:rsid w:val="000033D3"/>
    <w:rsid w:val="00006D35"/>
    <w:rsid w:val="00020D1B"/>
    <w:rsid w:val="000238DD"/>
    <w:rsid w:val="00026633"/>
    <w:rsid w:val="00030F15"/>
    <w:rsid w:val="00032B5E"/>
    <w:rsid w:val="00047175"/>
    <w:rsid w:val="00057B91"/>
    <w:rsid w:val="00072B20"/>
    <w:rsid w:val="0007767F"/>
    <w:rsid w:val="0008093E"/>
    <w:rsid w:val="0009126A"/>
    <w:rsid w:val="00094181"/>
    <w:rsid w:val="000956F6"/>
    <w:rsid w:val="000A231C"/>
    <w:rsid w:val="000A5DBD"/>
    <w:rsid w:val="000A7491"/>
    <w:rsid w:val="000B1391"/>
    <w:rsid w:val="000E4B9F"/>
    <w:rsid w:val="000E4EB8"/>
    <w:rsid w:val="000E559E"/>
    <w:rsid w:val="000F3366"/>
    <w:rsid w:val="001004C5"/>
    <w:rsid w:val="00101956"/>
    <w:rsid w:val="00111DD4"/>
    <w:rsid w:val="001207BA"/>
    <w:rsid w:val="00121B31"/>
    <w:rsid w:val="00125570"/>
    <w:rsid w:val="00137464"/>
    <w:rsid w:val="001535FC"/>
    <w:rsid w:val="0015516E"/>
    <w:rsid w:val="0016154E"/>
    <w:rsid w:val="001625B7"/>
    <w:rsid w:val="00162714"/>
    <w:rsid w:val="00171C1A"/>
    <w:rsid w:val="00173DEE"/>
    <w:rsid w:val="00187D1E"/>
    <w:rsid w:val="00191112"/>
    <w:rsid w:val="001B053B"/>
    <w:rsid w:val="001B2F0B"/>
    <w:rsid w:val="001B301B"/>
    <w:rsid w:val="001B3D28"/>
    <w:rsid w:val="001B4EC6"/>
    <w:rsid w:val="001C3089"/>
    <w:rsid w:val="001C6A36"/>
    <w:rsid w:val="001E0C0B"/>
    <w:rsid w:val="001E19D4"/>
    <w:rsid w:val="001E6C42"/>
    <w:rsid w:val="001F28C0"/>
    <w:rsid w:val="001F36DB"/>
    <w:rsid w:val="001F6EA7"/>
    <w:rsid w:val="00212E3B"/>
    <w:rsid w:val="00213CE7"/>
    <w:rsid w:val="0021430F"/>
    <w:rsid w:val="002150B3"/>
    <w:rsid w:val="002226D4"/>
    <w:rsid w:val="002258C1"/>
    <w:rsid w:val="00230B90"/>
    <w:rsid w:val="00240384"/>
    <w:rsid w:val="00247EF6"/>
    <w:rsid w:val="00254A9C"/>
    <w:rsid w:val="00254E99"/>
    <w:rsid w:val="0025549C"/>
    <w:rsid w:val="00255A61"/>
    <w:rsid w:val="00255FE3"/>
    <w:rsid w:val="0026249D"/>
    <w:rsid w:val="00262F85"/>
    <w:rsid w:val="00265F7C"/>
    <w:rsid w:val="00296590"/>
    <w:rsid w:val="002A2AF0"/>
    <w:rsid w:val="002A7472"/>
    <w:rsid w:val="002A7B61"/>
    <w:rsid w:val="002C5904"/>
    <w:rsid w:val="002D2CF0"/>
    <w:rsid w:val="002D3509"/>
    <w:rsid w:val="002D3529"/>
    <w:rsid w:val="002D7B35"/>
    <w:rsid w:val="002E202A"/>
    <w:rsid w:val="002E3D8A"/>
    <w:rsid w:val="002F0ECA"/>
    <w:rsid w:val="00310093"/>
    <w:rsid w:val="00313ACA"/>
    <w:rsid w:val="0031545E"/>
    <w:rsid w:val="00334F62"/>
    <w:rsid w:val="003365BD"/>
    <w:rsid w:val="0034135E"/>
    <w:rsid w:val="00342C61"/>
    <w:rsid w:val="0035375E"/>
    <w:rsid w:val="00361F79"/>
    <w:rsid w:val="00377D51"/>
    <w:rsid w:val="00393026"/>
    <w:rsid w:val="003B0C62"/>
    <w:rsid w:val="003B1C48"/>
    <w:rsid w:val="003C35C0"/>
    <w:rsid w:val="003C4342"/>
    <w:rsid w:val="003D3DC1"/>
    <w:rsid w:val="003E034D"/>
    <w:rsid w:val="003E6B14"/>
    <w:rsid w:val="003F06E5"/>
    <w:rsid w:val="00416C5B"/>
    <w:rsid w:val="0041708B"/>
    <w:rsid w:val="0043157F"/>
    <w:rsid w:val="004414E7"/>
    <w:rsid w:val="0044323C"/>
    <w:rsid w:val="0047355B"/>
    <w:rsid w:val="00473EDD"/>
    <w:rsid w:val="00480E7E"/>
    <w:rsid w:val="004835E8"/>
    <w:rsid w:val="004841A0"/>
    <w:rsid w:val="004A2AA3"/>
    <w:rsid w:val="004B08BF"/>
    <w:rsid w:val="004B2F29"/>
    <w:rsid w:val="004C6991"/>
    <w:rsid w:val="004D0F5C"/>
    <w:rsid w:val="004D2CB9"/>
    <w:rsid w:val="004E4950"/>
    <w:rsid w:val="004F695E"/>
    <w:rsid w:val="004F75D7"/>
    <w:rsid w:val="00514B36"/>
    <w:rsid w:val="00536971"/>
    <w:rsid w:val="00537E51"/>
    <w:rsid w:val="005428D5"/>
    <w:rsid w:val="00547A0E"/>
    <w:rsid w:val="00552210"/>
    <w:rsid w:val="00561306"/>
    <w:rsid w:val="00572DA1"/>
    <w:rsid w:val="00582CF8"/>
    <w:rsid w:val="005871C7"/>
    <w:rsid w:val="00591479"/>
    <w:rsid w:val="00593CE6"/>
    <w:rsid w:val="00597B23"/>
    <w:rsid w:val="005A0A06"/>
    <w:rsid w:val="005B1859"/>
    <w:rsid w:val="005B68C5"/>
    <w:rsid w:val="005D23C6"/>
    <w:rsid w:val="005D3F30"/>
    <w:rsid w:val="005D4C93"/>
    <w:rsid w:val="005E202F"/>
    <w:rsid w:val="005E70B8"/>
    <w:rsid w:val="005F76EF"/>
    <w:rsid w:val="00600F6B"/>
    <w:rsid w:val="0060130F"/>
    <w:rsid w:val="00620548"/>
    <w:rsid w:val="006310F9"/>
    <w:rsid w:val="00631233"/>
    <w:rsid w:val="006403BC"/>
    <w:rsid w:val="0064054F"/>
    <w:rsid w:val="006477FA"/>
    <w:rsid w:val="00656027"/>
    <w:rsid w:val="00661CDC"/>
    <w:rsid w:val="0067398D"/>
    <w:rsid w:val="00677249"/>
    <w:rsid w:val="00677AA3"/>
    <w:rsid w:val="0068421D"/>
    <w:rsid w:val="006A0F9A"/>
    <w:rsid w:val="006A344A"/>
    <w:rsid w:val="006A46DF"/>
    <w:rsid w:val="006A5BEB"/>
    <w:rsid w:val="006B29B5"/>
    <w:rsid w:val="006E3F06"/>
    <w:rsid w:val="006E4263"/>
    <w:rsid w:val="006F3073"/>
    <w:rsid w:val="0070169F"/>
    <w:rsid w:val="00704CA7"/>
    <w:rsid w:val="0071166A"/>
    <w:rsid w:val="00711F1D"/>
    <w:rsid w:val="00714D15"/>
    <w:rsid w:val="00716FCE"/>
    <w:rsid w:val="00724642"/>
    <w:rsid w:val="007347B1"/>
    <w:rsid w:val="00735725"/>
    <w:rsid w:val="0073669B"/>
    <w:rsid w:val="00744056"/>
    <w:rsid w:val="00744ADA"/>
    <w:rsid w:val="00750D28"/>
    <w:rsid w:val="00762022"/>
    <w:rsid w:val="00765B26"/>
    <w:rsid w:val="007708EA"/>
    <w:rsid w:val="00770A61"/>
    <w:rsid w:val="00792AEB"/>
    <w:rsid w:val="007955E3"/>
    <w:rsid w:val="007A0CB7"/>
    <w:rsid w:val="007A305A"/>
    <w:rsid w:val="007A4827"/>
    <w:rsid w:val="007B13AE"/>
    <w:rsid w:val="007B1ED9"/>
    <w:rsid w:val="007B5A7C"/>
    <w:rsid w:val="007B6CCA"/>
    <w:rsid w:val="007C54F5"/>
    <w:rsid w:val="007E0EFD"/>
    <w:rsid w:val="007F5951"/>
    <w:rsid w:val="00821E09"/>
    <w:rsid w:val="0082329E"/>
    <w:rsid w:val="008308EB"/>
    <w:rsid w:val="00832895"/>
    <w:rsid w:val="00834FBD"/>
    <w:rsid w:val="00850304"/>
    <w:rsid w:val="008523DC"/>
    <w:rsid w:val="00857707"/>
    <w:rsid w:val="008629D0"/>
    <w:rsid w:val="008722EB"/>
    <w:rsid w:val="0087675E"/>
    <w:rsid w:val="008779AE"/>
    <w:rsid w:val="008B3CCA"/>
    <w:rsid w:val="008C7209"/>
    <w:rsid w:val="008F1E19"/>
    <w:rsid w:val="008F3949"/>
    <w:rsid w:val="00910C7C"/>
    <w:rsid w:val="0091474D"/>
    <w:rsid w:val="009161AF"/>
    <w:rsid w:val="00924143"/>
    <w:rsid w:val="009267AD"/>
    <w:rsid w:val="00934AB2"/>
    <w:rsid w:val="00953287"/>
    <w:rsid w:val="00954B72"/>
    <w:rsid w:val="00963098"/>
    <w:rsid w:val="00963D06"/>
    <w:rsid w:val="00966E3C"/>
    <w:rsid w:val="00973E89"/>
    <w:rsid w:val="009777C7"/>
    <w:rsid w:val="00981DA9"/>
    <w:rsid w:val="00984224"/>
    <w:rsid w:val="009849B3"/>
    <w:rsid w:val="009850AF"/>
    <w:rsid w:val="00995C1E"/>
    <w:rsid w:val="00997776"/>
    <w:rsid w:val="009C014F"/>
    <w:rsid w:val="009C32B1"/>
    <w:rsid w:val="009C731B"/>
    <w:rsid w:val="009D5641"/>
    <w:rsid w:val="009E0823"/>
    <w:rsid w:val="009E7D6E"/>
    <w:rsid w:val="00A03AC8"/>
    <w:rsid w:val="00A04209"/>
    <w:rsid w:val="00A2767A"/>
    <w:rsid w:val="00A2796E"/>
    <w:rsid w:val="00A315B9"/>
    <w:rsid w:val="00A317C9"/>
    <w:rsid w:val="00A400C1"/>
    <w:rsid w:val="00A508D6"/>
    <w:rsid w:val="00A52346"/>
    <w:rsid w:val="00A538A1"/>
    <w:rsid w:val="00A61D39"/>
    <w:rsid w:val="00A71241"/>
    <w:rsid w:val="00A84F97"/>
    <w:rsid w:val="00A8677A"/>
    <w:rsid w:val="00A86ABF"/>
    <w:rsid w:val="00AA3CF9"/>
    <w:rsid w:val="00AA65BE"/>
    <w:rsid w:val="00AA7765"/>
    <w:rsid w:val="00AC1D1A"/>
    <w:rsid w:val="00AC1E68"/>
    <w:rsid w:val="00AD5ACA"/>
    <w:rsid w:val="00AF5ACD"/>
    <w:rsid w:val="00B10B36"/>
    <w:rsid w:val="00B13CB7"/>
    <w:rsid w:val="00B265B3"/>
    <w:rsid w:val="00B273EE"/>
    <w:rsid w:val="00B27685"/>
    <w:rsid w:val="00B53EC4"/>
    <w:rsid w:val="00B725DB"/>
    <w:rsid w:val="00B76400"/>
    <w:rsid w:val="00B8344B"/>
    <w:rsid w:val="00B9287A"/>
    <w:rsid w:val="00B95AA9"/>
    <w:rsid w:val="00BA0EE9"/>
    <w:rsid w:val="00BC5308"/>
    <w:rsid w:val="00BC6F18"/>
    <w:rsid w:val="00BD3965"/>
    <w:rsid w:val="00BE0357"/>
    <w:rsid w:val="00BE112B"/>
    <w:rsid w:val="00BF1C91"/>
    <w:rsid w:val="00BF3AB9"/>
    <w:rsid w:val="00C01EBE"/>
    <w:rsid w:val="00C026F1"/>
    <w:rsid w:val="00C10E2C"/>
    <w:rsid w:val="00C11675"/>
    <w:rsid w:val="00C13FCF"/>
    <w:rsid w:val="00C203BB"/>
    <w:rsid w:val="00C234F8"/>
    <w:rsid w:val="00C2777D"/>
    <w:rsid w:val="00C32D3B"/>
    <w:rsid w:val="00C506C5"/>
    <w:rsid w:val="00C62FB0"/>
    <w:rsid w:val="00C63DE7"/>
    <w:rsid w:val="00C75767"/>
    <w:rsid w:val="00C77E3C"/>
    <w:rsid w:val="00C86D2E"/>
    <w:rsid w:val="00C929A6"/>
    <w:rsid w:val="00C95B9A"/>
    <w:rsid w:val="00C96DC3"/>
    <w:rsid w:val="00C97AEC"/>
    <w:rsid w:val="00CB204A"/>
    <w:rsid w:val="00CC339B"/>
    <w:rsid w:val="00CC428B"/>
    <w:rsid w:val="00CC7950"/>
    <w:rsid w:val="00CC7E3B"/>
    <w:rsid w:val="00CD2D5D"/>
    <w:rsid w:val="00CD41DC"/>
    <w:rsid w:val="00CD4B24"/>
    <w:rsid w:val="00CD5E87"/>
    <w:rsid w:val="00CD726B"/>
    <w:rsid w:val="00CE4CEF"/>
    <w:rsid w:val="00CE5C28"/>
    <w:rsid w:val="00CF09D4"/>
    <w:rsid w:val="00CF11C0"/>
    <w:rsid w:val="00CF56CD"/>
    <w:rsid w:val="00D073D5"/>
    <w:rsid w:val="00D11B04"/>
    <w:rsid w:val="00D1730B"/>
    <w:rsid w:val="00D21EAA"/>
    <w:rsid w:val="00D41DD2"/>
    <w:rsid w:val="00D47BB5"/>
    <w:rsid w:val="00D541EB"/>
    <w:rsid w:val="00D54D0B"/>
    <w:rsid w:val="00D5724F"/>
    <w:rsid w:val="00D62FF7"/>
    <w:rsid w:val="00D6402D"/>
    <w:rsid w:val="00D66A79"/>
    <w:rsid w:val="00D7213A"/>
    <w:rsid w:val="00D74F80"/>
    <w:rsid w:val="00D816C4"/>
    <w:rsid w:val="00D82DDA"/>
    <w:rsid w:val="00D86668"/>
    <w:rsid w:val="00D92519"/>
    <w:rsid w:val="00D948B1"/>
    <w:rsid w:val="00DC06DD"/>
    <w:rsid w:val="00DC34B7"/>
    <w:rsid w:val="00DC39FD"/>
    <w:rsid w:val="00DD40AB"/>
    <w:rsid w:val="00DD6109"/>
    <w:rsid w:val="00DD7DED"/>
    <w:rsid w:val="00E16510"/>
    <w:rsid w:val="00E178E8"/>
    <w:rsid w:val="00E25A09"/>
    <w:rsid w:val="00E36FA1"/>
    <w:rsid w:val="00E4162E"/>
    <w:rsid w:val="00E42DB0"/>
    <w:rsid w:val="00E501C8"/>
    <w:rsid w:val="00E54ACB"/>
    <w:rsid w:val="00E67713"/>
    <w:rsid w:val="00E71270"/>
    <w:rsid w:val="00E717F8"/>
    <w:rsid w:val="00E7729B"/>
    <w:rsid w:val="00E84FB4"/>
    <w:rsid w:val="00E933C1"/>
    <w:rsid w:val="00E974BC"/>
    <w:rsid w:val="00E975A2"/>
    <w:rsid w:val="00EA3AFC"/>
    <w:rsid w:val="00EA5D78"/>
    <w:rsid w:val="00EA78C6"/>
    <w:rsid w:val="00EB26C0"/>
    <w:rsid w:val="00EB2F61"/>
    <w:rsid w:val="00EB4EE8"/>
    <w:rsid w:val="00EB73AD"/>
    <w:rsid w:val="00EE36F7"/>
    <w:rsid w:val="00EE43E7"/>
    <w:rsid w:val="00EF4B9C"/>
    <w:rsid w:val="00F01880"/>
    <w:rsid w:val="00F039E3"/>
    <w:rsid w:val="00F054DD"/>
    <w:rsid w:val="00F11BE5"/>
    <w:rsid w:val="00F160F3"/>
    <w:rsid w:val="00F17045"/>
    <w:rsid w:val="00F20AD6"/>
    <w:rsid w:val="00F31B03"/>
    <w:rsid w:val="00F31CA8"/>
    <w:rsid w:val="00F44AE6"/>
    <w:rsid w:val="00F45221"/>
    <w:rsid w:val="00F45A7B"/>
    <w:rsid w:val="00F47B60"/>
    <w:rsid w:val="00F47D84"/>
    <w:rsid w:val="00F510FE"/>
    <w:rsid w:val="00F51157"/>
    <w:rsid w:val="00F523BD"/>
    <w:rsid w:val="00F60C89"/>
    <w:rsid w:val="00F645CA"/>
    <w:rsid w:val="00F6490C"/>
    <w:rsid w:val="00F6675E"/>
    <w:rsid w:val="00F760CD"/>
    <w:rsid w:val="00F76909"/>
    <w:rsid w:val="00F818A2"/>
    <w:rsid w:val="00FA6984"/>
    <w:rsid w:val="00FA69A2"/>
    <w:rsid w:val="00FA7A7F"/>
    <w:rsid w:val="00FB3D96"/>
    <w:rsid w:val="00FC76AC"/>
    <w:rsid w:val="00FD124E"/>
    <w:rsid w:val="00FE311B"/>
    <w:rsid w:val="00FE3EA6"/>
    <w:rsid w:val="00FF3A1B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F467"/>
  <w15:docId w15:val="{DE6237B7-30AD-4FFF-814B-D62BFE53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4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54ACB"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rsid w:val="00E54ACB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3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4414E7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Trebuchet MS" w:hAnsi="Trebuchet MS" w:cs="Times New Roman"/>
      <w:i/>
      <w:iCs/>
      <w:color w:val="202F69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54ACB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E54ACB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3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4414E7"/>
    <w:rPr>
      <w:rFonts w:ascii="Trebuchet MS" w:eastAsia="Times New Roman" w:hAnsi="Trebuchet MS" w:cs="Times New Roman"/>
      <w:i/>
      <w:iCs/>
      <w:color w:val="202F6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4A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4ACB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aliases w:val="body,Odsek zoznamu2,Dot pt,No Spacing1,List Paragraph Char Char Char,Indicator Text,Numbered Para 1,List Paragraph à moi,Odsek zoznamu4,LISTA,Listaszerű bekezdés2,Listaszerű bekezdés3,Listaszerű bekezdés1,F5 List Paragraph,Recommendation,3"/>
    <w:basedOn w:val="Normlny"/>
    <w:link w:val="OdsekzoznamuChar"/>
    <w:uiPriority w:val="34"/>
    <w:qFormat/>
    <w:rsid w:val="007708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rebuchet MS" w:eastAsia="Trebuchet MS" w:hAnsi="Trebuchet MS" w:cs="Times New Roman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Dot pt Char,No Spacing1 Char,List Paragraph Char Char Char Char,Indicator Text Char,Numbered Para 1 Char,List Paragraph à moi Char,Odsek zoznamu4 Char,LISTA Char,Listaszerű bekezdés2 Char,3 Char"/>
    <w:basedOn w:val="Predvolenpsmoodseku"/>
    <w:link w:val="Odsekzoznamu"/>
    <w:uiPriority w:val="34"/>
    <w:qFormat/>
    <w:rsid w:val="007708EA"/>
    <w:rPr>
      <w:rFonts w:ascii="Trebuchet MS" w:eastAsia="Trebuchet MS" w:hAnsi="Trebuchet MS" w:cs="Times New Roman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9E0823"/>
    <w:pPr>
      <w:widowControl/>
      <w:autoSpaceDE/>
      <w:autoSpaceDN/>
      <w:adjustRightInd/>
      <w:spacing w:before="120" w:after="120" w:line="276" w:lineRule="auto"/>
    </w:pPr>
    <w:rPr>
      <w:rFonts w:ascii="Trebuchet MS" w:eastAsia="Trebuchet MS" w:hAnsi="Trebuchet MS" w:cs="Times New Roman"/>
      <w:b/>
      <w:bCs/>
      <w:caps/>
      <w:sz w:val="20"/>
      <w:szCs w:val="20"/>
      <w:lang w:eastAsia="en-US"/>
    </w:rPr>
  </w:style>
  <w:style w:type="character" w:styleId="Hypertextovprepojenie">
    <w:name w:val="Hyperlink"/>
    <w:uiPriority w:val="99"/>
    <w:unhideWhenUsed/>
    <w:rsid w:val="009E0823"/>
    <w:rPr>
      <w:color w:val="56C7AA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E0823"/>
    <w:pPr>
      <w:widowControl/>
      <w:autoSpaceDE/>
      <w:autoSpaceDN/>
      <w:adjustRightInd/>
      <w:spacing w:line="276" w:lineRule="auto"/>
      <w:ind w:left="220"/>
    </w:pPr>
    <w:rPr>
      <w:rFonts w:ascii="Trebuchet MS" w:eastAsia="Trebuchet MS" w:hAnsi="Trebuchet MS" w:cs="Times New Roman"/>
      <w:smallCaps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9E0823"/>
    <w:pPr>
      <w:widowControl/>
      <w:autoSpaceDE/>
      <w:autoSpaceDN/>
      <w:adjustRightInd/>
      <w:spacing w:line="276" w:lineRule="auto"/>
      <w:ind w:left="440"/>
    </w:pPr>
    <w:rPr>
      <w:rFonts w:ascii="Trebuchet MS" w:eastAsia="Trebuchet MS" w:hAnsi="Trebuchet MS" w:cs="Times New Roman"/>
      <w:i/>
      <w:iCs/>
      <w:sz w:val="20"/>
      <w:szCs w:val="20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9E0823"/>
    <w:pPr>
      <w:widowControl/>
      <w:autoSpaceDE/>
      <w:autoSpaceDN/>
      <w:adjustRightInd/>
      <w:spacing w:line="276" w:lineRule="auto"/>
      <w:ind w:left="660"/>
    </w:pPr>
    <w:rPr>
      <w:rFonts w:ascii="Trebuchet MS" w:eastAsia="Trebuchet MS" w:hAnsi="Trebuchet MS" w:cs="Times New Roman"/>
      <w:sz w:val="18"/>
      <w:szCs w:val="18"/>
      <w:lang w:eastAsia="en-US"/>
    </w:rPr>
  </w:style>
  <w:style w:type="paragraph" w:styleId="Obsah5">
    <w:name w:val="toc 5"/>
    <w:basedOn w:val="Normlny"/>
    <w:next w:val="Normlny"/>
    <w:autoRedefine/>
    <w:uiPriority w:val="39"/>
    <w:unhideWhenUsed/>
    <w:rsid w:val="009E0823"/>
    <w:pPr>
      <w:widowControl/>
      <w:autoSpaceDE/>
      <w:autoSpaceDN/>
      <w:adjustRightInd/>
      <w:spacing w:line="276" w:lineRule="auto"/>
      <w:ind w:left="880"/>
    </w:pPr>
    <w:rPr>
      <w:rFonts w:ascii="Trebuchet MS" w:eastAsia="Trebuchet MS" w:hAnsi="Trebuchet MS" w:cs="Times New Roman"/>
      <w:sz w:val="18"/>
      <w:szCs w:val="18"/>
      <w:lang w:eastAsia="en-US"/>
    </w:rPr>
  </w:style>
  <w:style w:type="paragraph" w:styleId="Obsah6">
    <w:name w:val="toc 6"/>
    <w:basedOn w:val="Normlny"/>
    <w:next w:val="Normlny"/>
    <w:autoRedefine/>
    <w:uiPriority w:val="39"/>
    <w:unhideWhenUsed/>
    <w:rsid w:val="009E0823"/>
    <w:pPr>
      <w:widowControl/>
      <w:autoSpaceDE/>
      <w:autoSpaceDN/>
      <w:adjustRightInd/>
      <w:spacing w:line="276" w:lineRule="auto"/>
      <w:ind w:left="1100"/>
    </w:pPr>
    <w:rPr>
      <w:rFonts w:ascii="Trebuchet MS" w:eastAsia="Trebuchet MS" w:hAnsi="Trebuchet MS" w:cs="Times New Roman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rsid w:val="00B27685"/>
    <w:pPr>
      <w:widowControl/>
      <w:tabs>
        <w:tab w:val="center" w:pos="4703"/>
        <w:tab w:val="right" w:pos="9406"/>
      </w:tabs>
      <w:autoSpaceDE/>
      <w:autoSpaceDN/>
      <w:adjustRightInd/>
    </w:pPr>
    <w:rPr>
      <w:rFonts w:cs="Times New Roman"/>
      <w:sz w:val="16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27685"/>
    <w:rPr>
      <w:rFonts w:ascii="Arial" w:eastAsia="Times New Roman" w:hAnsi="Arial" w:cs="Times New Roman"/>
      <w:sz w:val="16"/>
      <w:szCs w:val="24"/>
    </w:rPr>
  </w:style>
  <w:style w:type="table" w:customStyle="1" w:styleId="Svetlmriekazvraznenie111">
    <w:name w:val="Svetlá mriežka – zvýraznenie 111"/>
    <w:basedOn w:val="Normlnatabuka"/>
    <w:uiPriority w:val="62"/>
    <w:rsid w:val="00C63DE7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E67C8"/>
        <w:left w:val="single" w:sz="8" w:space="0" w:color="4E67C8"/>
        <w:bottom w:val="single" w:sz="8" w:space="0" w:color="4E67C8"/>
        <w:right w:val="single" w:sz="8" w:space="0" w:color="4E67C8"/>
        <w:insideH w:val="single" w:sz="8" w:space="0" w:color="4E67C8"/>
        <w:insideV w:val="single" w:sz="8" w:space="0" w:color="4E67C8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Georgia" w:eastAsia="Times New Roman" w:hAnsi="Georgia" w:cs="Times New Roman" w:hint="default"/>
        <w:b/>
        <w:bCs/>
      </w:rPr>
      <w:tblPr/>
      <w:tcPr>
        <w:tcBorders>
          <w:top w:val="single" w:sz="8" w:space="0" w:color="4E67C8"/>
          <w:left w:val="single" w:sz="8" w:space="0" w:color="4E67C8"/>
          <w:bottom w:val="single" w:sz="18" w:space="0" w:color="4E67C8"/>
          <w:right w:val="single" w:sz="8" w:space="0" w:color="4E67C8"/>
          <w:insideH w:val="nil"/>
          <w:insideV w:val="single" w:sz="8" w:space="0" w:color="4E67C8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Georgia" w:eastAsia="Times New Roman" w:hAnsi="Georgia" w:cs="Times New Roman" w:hint="default"/>
        <w:b/>
        <w:bCs/>
      </w:rPr>
      <w:tblPr/>
      <w:tcPr>
        <w:tcBorders>
          <w:top w:val="double" w:sz="6" w:space="0" w:color="4E67C8"/>
          <w:left w:val="single" w:sz="8" w:space="0" w:color="4E67C8"/>
          <w:bottom w:val="single" w:sz="8" w:space="0" w:color="4E67C8"/>
          <w:right w:val="single" w:sz="8" w:space="0" w:color="4E67C8"/>
          <w:insideH w:val="nil"/>
          <w:insideV w:val="single" w:sz="8" w:space="0" w:color="4E67C8"/>
        </w:tcBorders>
      </w:tcPr>
    </w:tblStylePr>
    <w:tblStylePr w:type="firstCol">
      <w:rPr>
        <w:rFonts w:ascii="Georgia" w:eastAsia="Times New Roman" w:hAnsi="Georgia" w:cs="Times New Roman" w:hint="default"/>
        <w:b/>
        <w:bCs/>
      </w:rPr>
    </w:tblStylePr>
    <w:tblStylePr w:type="lastCol">
      <w:rPr>
        <w:rFonts w:ascii="Georgia" w:eastAsia="Times New Roman" w:hAnsi="Georgia" w:cs="Times New Roman" w:hint="default"/>
        <w:b/>
        <w:bCs/>
      </w:rPr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</w:tcBorders>
      </w:tcPr>
    </w:tblStylePr>
    <w:tblStylePr w:type="band1Vert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</w:tcBorders>
        <w:shd w:val="clear" w:color="auto" w:fill="D3D9F1"/>
      </w:tcPr>
    </w:tblStylePr>
    <w:tblStylePr w:type="band1Horz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V w:val="single" w:sz="8" w:space="0" w:color="4E67C8"/>
        </w:tcBorders>
        <w:shd w:val="clear" w:color="auto" w:fill="D3D9F1"/>
      </w:tcPr>
    </w:tblStylePr>
    <w:tblStylePr w:type="band2Horz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V w:val="single" w:sz="8" w:space="0" w:color="4E67C8"/>
        </w:tcBorders>
      </w:tcPr>
    </w:tblStylePr>
  </w:style>
  <w:style w:type="character" w:styleId="Zvraznenie">
    <w:name w:val="Emphasis"/>
    <w:uiPriority w:val="20"/>
    <w:qFormat/>
    <w:rsid w:val="006310F9"/>
    <w:rPr>
      <w:i/>
      <w:iCs/>
    </w:rPr>
  </w:style>
  <w:style w:type="paragraph" w:styleId="Textpoznmkypodiarou">
    <w:name w:val="footnote text"/>
    <w:aliases w:val="Fußnotentextf,Fußnotentextr,stile 1,Footnote,Footnote1,Footnote2,Footnote3,Footnote4,Footnote5,Footnote6,Footnote7,Footnote8,Footnote9,Footnote10,Footnote11,Footnote21,Footnote31,Footnote41,Footnote51,Footnote61,Footnote71,f,o"/>
    <w:basedOn w:val="Normlny"/>
    <w:link w:val="TextpoznmkypodiarouChar"/>
    <w:uiPriority w:val="99"/>
    <w:unhideWhenUsed/>
    <w:qFormat/>
    <w:rsid w:val="00EB4EE8"/>
    <w:rPr>
      <w:sz w:val="20"/>
      <w:szCs w:val="20"/>
    </w:rPr>
  </w:style>
  <w:style w:type="character" w:customStyle="1" w:styleId="TextpoznmkypodiarouChar">
    <w:name w:val="Text poznámky pod čiarou Char"/>
    <w:aliases w:val="Fußnotentextf Char,Fußnotentextr Char,stile 1 Char,Footnote Char,Footnote1 Char,Footnote2 Char,Footnote3 Char,Footnote4 Char,Footnote5 Char,Footnote6 Char,Footnote7 Char,Footnote8 Char,Footnote9 Char,Footnote10 Char,f Char"/>
    <w:basedOn w:val="Predvolenpsmoodseku"/>
    <w:link w:val="Textpoznmkypodiarou"/>
    <w:uiPriority w:val="99"/>
    <w:rsid w:val="00EB4EE8"/>
    <w:rPr>
      <w:rFonts w:ascii="Arial" w:eastAsia="Times New Roman" w:hAnsi="Arial" w:cs="Arial"/>
      <w:sz w:val="20"/>
      <w:szCs w:val="20"/>
      <w:lang w:eastAsia="sk-SK"/>
    </w:rPr>
  </w:style>
  <w:style w:type="character" w:styleId="Odkaznapoznmkupodiarou">
    <w:name w:val="footnote reference"/>
    <w:aliases w:val="FRef ISO,Footnotes refss,Überschrift 4 Zchn1,Título 4 Car Zchn,Heading 4 Char1 Car Zchn,no vale 2 Zchn,no vale 2 Car Zchn,ftref,Footnote symbol,-E Fußnotenzeichen,ESPON Footnote No,Footnote call,Odwołanie przypisu"/>
    <w:basedOn w:val="Predvolenpsmoodseku"/>
    <w:uiPriority w:val="99"/>
    <w:unhideWhenUsed/>
    <w:rsid w:val="00EB4EE8"/>
    <w:rPr>
      <w:vertAlign w:val="superscript"/>
    </w:rPr>
  </w:style>
  <w:style w:type="paragraph" w:customStyle="1" w:styleId="CM1">
    <w:name w:val="CM1"/>
    <w:basedOn w:val="Normlny"/>
    <w:next w:val="Normlny"/>
    <w:uiPriority w:val="99"/>
    <w:rsid w:val="00C203BB"/>
    <w:pPr>
      <w:widowControl/>
    </w:pPr>
    <w:rPr>
      <w:rFonts w:ascii="EUAlbertina" w:eastAsiaTheme="minorHAnsi" w:hAnsi="EUAlbertina" w:cstheme="minorBidi"/>
      <w:lang w:eastAsia="en-US"/>
    </w:rPr>
  </w:style>
  <w:style w:type="paragraph" w:customStyle="1" w:styleId="Default">
    <w:name w:val="Default"/>
    <w:uiPriority w:val="99"/>
    <w:rsid w:val="004A2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aliases w:val="Deloitte table 3"/>
    <w:basedOn w:val="Normlnatabuka"/>
    <w:uiPriority w:val="59"/>
    <w:rsid w:val="004A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rsid w:val="00173D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3D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73DEE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3D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3DE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842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4224"/>
    <w:rPr>
      <w:rFonts w:ascii="Arial" w:eastAsia="Times New Roman" w:hAnsi="Arial" w:cs="Arial"/>
      <w:sz w:val="24"/>
      <w:szCs w:val="24"/>
      <w:lang w:eastAsia="sk-SK"/>
    </w:rPr>
  </w:style>
  <w:style w:type="character" w:styleId="Siln">
    <w:name w:val="Strong"/>
    <w:uiPriority w:val="22"/>
    <w:qFormat/>
    <w:rsid w:val="00F31CA8"/>
    <w:rPr>
      <w:b/>
      <w:bCs/>
    </w:rPr>
  </w:style>
  <w:style w:type="paragraph" w:customStyle="1" w:styleId="C">
    <w:name w:val="C"/>
    <w:qFormat/>
    <w:rsid w:val="004414E7"/>
    <w:pPr>
      <w:spacing w:afterLines="100" w:after="100" w:line="300" w:lineRule="exact"/>
    </w:pPr>
    <w:rPr>
      <w:rFonts w:ascii="Arial" w:hAnsi="Arial"/>
      <w:sz w:val="20"/>
    </w:rPr>
  </w:style>
  <w:style w:type="paragraph" w:styleId="Nzov">
    <w:name w:val="Title"/>
    <w:basedOn w:val="Normlny"/>
    <w:link w:val="NzovChar"/>
    <w:uiPriority w:val="10"/>
    <w:qFormat/>
    <w:rsid w:val="004414E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4414E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CM3">
    <w:name w:val="CM3"/>
    <w:basedOn w:val="Default"/>
    <w:next w:val="Default"/>
    <w:uiPriority w:val="99"/>
    <w:rsid w:val="004414E7"/>
    <w:rPr>
      <w:rFonts w:ascii="EUAlbertina" w:hAnsi="EUAlbertina" w:cstheme="minorBidi"/>
      <w:color w:val="auto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414E7"/>
    <w:rPr>
      <w:rFonts w:ascii="Trebuchet MS" w:eastAsia="Trebuchet MS" w:hAnsi="Trebuchet MS" w:cs="Times New Roman"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414E7"/>
    <w:pPr>
      <w:widowControl/>
      <w:autoSpaceDE/>
      <w:autoSpaceDN/>
      <w:adjustRightInd/>
    </w:pPr>
    <w:rPr>
      <w:rFonts w:ascii="Trebuchet MS" w:eastAsia="Trebuchet MS" w:hAnsi="Trebuchet MS" w:cs="Times New Roman"/>
      <w:sz w:val="20"/>
      <w:szCs w:val="20"/>
      <w:lang w:eastAsia="en-US"/>
    </w:rPr>
  </w:style>
  <w:style w:type="table" w:styleId="Tabukasmriekou1svetl">
    <w:name w:val="Grid Table 1 Light"/>
    <w:basedOn w:val="Normlnatabuka"/>
    <w:uiPriority w:val="46"/>
    <w:rsid w:val="004414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ywebov">
    <w:name w:val="Normal (Web)"/>
    <w:basedOn w:val="Normlny"/>
    <w:uiPriority w:val="99"/>
    <w:unhideWhenUsed/>
    <w:rsid w:val="00187D1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187D1E"/>
    <w:rPr>
      <w:vertAlign w:val="superscript"/>
    </w:rPr>
  </w:style>
  <w:style w:type="paragraph" w:styleId="Revzia">
    <w:name w:val="Revision"/>
    <w:hidden/>
    <w:uiPriority w:val="99"/>
    <w:semiHidden/>
    <w:rsid w:val="00187D1E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1"/>
    <w:qFormat/>
    <w:rsid w:val="00591479"/>
    <w:pPr>
      <w:adjustRightInd/>
    </w:pPr>
    <w:rPr>
      <w:rFonts w:eastAsia="Arial"/>
      <w:sz w:val="22"/>
      <w:szCs w:val="22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591479"/>
    <w:rPr>
      <w:rFonts w:ascii="Arial" w:eastAsia="Arial" w:hAnsi="Arial" w:cs="Arial"/>
      <w:lang w:eastAsia="sk-SK" w:bidi="sk-SK"/>
    </w:rPr>
  </w:style>
  <w:style w:type="table" w:customStyle="1" w:styleId="Tabukasmriekou1svetl1">
    <w:name w:val="Tabuľka s mriežkou 1 – svetlá1"/>
    <w:basedOn w:val="Normlnatabuka"/>
    <w:uiPriority w:val="46"/>
    <w:rsid w:val="00377D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q4iawc">
    <w:name w:val="q4iawc"/>
    <w:basedOn w:val="Predvolenpsmoodseku"/>
    <w:rsid w:val="00AC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.nemeth@mirri.gov.sk" TargetMode="External"/><Relationship Id="rId13" Type="http://schemas.openxmlformats.org/officeDocument/2006/relationships/footer" Target="footer2.xml"/><Relationship Id="rId18" Type="http://schemas.openxmlformats.org/officeDocument/2006/relationships/hyperlink" Target="mailto:albert.nemeth@mirri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andrej.kosmovsky@mirri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na.chrenkova.kusnirova@mirri.gov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.chrenkova.kusnirova@mirri.gov.s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2808-2A65-4068-90F2-CBD3AAA8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24</Pages>
  <Words>7036</Words>
  <Characters>40106</Characters>
  <Application>Microsoft Office Word</Application>
  <DocSecurity>0</DocSecurity>
  <Lines>334</Lines>
  <Paragraphs>94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Chrenková Kušnírová, Elena</cp:lastModifiedBy>
  <cp:revision>31</cp:revision>
  <cp:lastPrinted>2018-06-04T11:13:00Z</cp:lastPrinted>
  <dcterms:created xsi:type="dcterms:W3CDTF">2022-02-15T09:22:00Z</dcterms:created>
  <dcterms:modified xsi:type="dcterms:W3CDTF">2023-03-06T09:27:00Z</dcterms:modified>
</cp:coreProperties>
</file>